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Times New Roman" w:hAnsi="Times New Roman" w:cs="Times New Roman"/>
          <w:b/>
          <w:sz w:val="30"/>
          <w:szCs w:val="30"/>
        </w:rPr>
      </w:pPr>
      <w:r>
        <w:rPr>
          <w:rFonts w:ascii="Times New Roman" w:hAnsi="Times New Roman" w:cs="Times New Roman"/>
          <w:b/>
          <w:sz w:val="30"/>
          <w:szCs w:val="30"/>
        </w:rPr>
        <w:t>目录</w:t>
      </w:r>
    </w:p>
    <w:p>
      <w:pPr>
        <w:pStyle w:val="31"/>
        <w:rPr>
          <w:sz w:val="21"/>
          <w:szCs w:val="22"/>
        </w:rPr>
      </w:pPr>
      <w:r>
        <w:rPr>
          <w:rFonts w:ascii="Times New Roman" w:hAnsi="Times New Roman" w:cs="Times New Roman"/>
          <w:sz w:val="30"/>
          <w:szCs w:val="30"/>
        </w:rPr>
        <w:fldChar w:fldCharType="begin"/>
      </w:r>
      <w:r>
        <w:rPr>
          <w:rFonts w:ascii="Times New Roman" w:hAnsi="Times New Roman" w:cs="Times New Roman"/>
          <w:sz w:val="30"/>
          <w:szCs w:val="30"/>
        </w:rPr>
        <w:instrText xml:space="preserve">TOC \o "1-2" \h \u </w:instrText>
      </w:r>
      <w:r>
        <w:rPr>
          <w:rFonts w:ascii="Times New Roman" w:hAnsi="Times New Roman" w:cs="Times New Roman"/>
          <w:sz w:val="30"/>
          <w:szCs w:val="30"/>
        </w:rPr>
        <w:fldChar w:fldCharType="separate"/>
      </w:r>
      <w:r>
        <w:fldChar w:fldCharType="begin"/>
      </w:r>
      <w:r>
        <w:instrText xml:space="preserve"> HYPERLINK \l "_Toc102039285" </w:instrText>
      </w:r>
      <w:r>
        <w:fldChar w:fldCharType="separate"/>
      </w:r>
      <w:r>
        <w:rPr>
          <w:rStyle w:val="55"/>
          <w:rFonts w:cs="Times New Roman"/>
        </w:rPr>
        <w:t>1 验收项目概况</w:t>
      </w:r>
      <w:r>
        <w:tab/>
      </w:r>
      <w:r>
        <w:fldChar w:fldCharType="begin"/>
      </w:r>
      <w:r>
        <w:instrText xml:space="preserve"> PAGEREF _Toc102039285 \h </w:instrText>
      </w:r>
      <w:r>
        <w:fldChar w:fldCharType="separate"/>
      </w:r>
      <w:r>
        <w:t>1</w:t>
      </w:r>
      <w:r>
        <w:fldChar w:fldCharType="end"/>
      </w:r>
      <w:r>
        <w:fldChar w:fldCharType="end"/>
      </w:r>
    </w:p>
    <w:p>
      <w:pPr>
        <w:pStyle w:val="31"/>
        <w:rPr>
          <w:sz w:val="21"/>
          <w:szCs w:val="22"/>
        </w:rPr>
      </w:pPr>
      <w:r>
        <w:fldChar w:fldCharType="begin"/>
      </w:r>
      <w:r>
        <w:instrText xml:space="preserve"> HYPERLINK \l "_Toc102039286" </w:instrText>
      </w:r>
      <w:r>
        <w:fldChar w:fldCharType="separate"/>
      </w:r>
      <w:r>
        <w:rPr>
          <w:rStyle w:val="55"/>
          <w:rFonts w:cs="Times New Roman"/>
        </w:rPr>
        <w:t>2 验收依据</w:t>
      </w:r>
      <w:r>
        <w:tab/>
      </w:r>
      <w:r>
        <w:fldChar w:fldCharType="begin"/>
      </w:r>
      <w:r>
        <w:instrText xml:space="preserve"> PAGEREF _Toc102039286 \h </w:instrText>
      </w:r>
      <w:r>
        <w:fldChar w:fldCharType="separate"/>
      </w:r>
      <w:r>
        <w:t>4</w:t>
      </w:r>
      <w:r>
        <w:fldChar w:fldCharType="end"/>
      </w:r>
      <w:r>
        <w:fldChar w:fldCharType="end"/>
      </w:r>
    </w:p>
    <w:p>
      <w:pPr>
        <w:pStyle w:val="37"/>
        <w:rPr>
          <w:sz w:val="21"/>
          <w:szCs w:val="22"/>
        </w:rPr>
      </w:pPr>
      <w:r>
        <w:fldChar w:fldCharType="begin"/>
      </w:r>
      <w:r>
        <w:instrText xml:space="preserve"> HYPERLINK \l "_Toc102039287" </w:instrText>
      </w:r>
      <w:r>
        <w:fldChar w:fldCharType="separate"/>
      </w:r>
      <w:r>
        <w:rPr>
          <w:rStyle w:val="55"/>
          <w:rFonts w:cs="Times New Roman"/>
        </w:rPr>
        <w:t>2.1建设项目环境保护相关法律、法规、章程和规范</w:t>
      </w:r>
      <w:r>
        <w:tab/>
      </w:r>
      <w:r>
        <w:fldChar w:fldCharType="begin"/>
      </w:r>
      <w:r>
        <w:instrText xml:space="preserve"> PAGEREF _Toc102039287 \h </w:instrText>
      </w:r>
      <w:r>
        <w:fldChar w:fldCharType="separate"/>
      </w:r>
      <w:r>
        <w:t>4</w:t>
      </w:r>
      <w:r>
        <w:fldChar w:fldCharType="end"/>
      </w:r>
      <w:r>
        <w:fldChar w:fldCharType="end"/>
      </w:r>
    </w:p>
    <w:p>
      <w:pPr>
        <w:pStyle w:val="37"/>
        <w:rPr>
          <w:sz w:val="21"/>
          <w:szCs w:val="22"/>
        </w:rPr>
      </w:pPr>
      <w:r>
        <w:fldChar w:fldCharType="begin"/>
      </w:r>
      <w:r>
        <w:instrText xml:space="preserve"> HYPERLINK \l "_Toc102039288" </w:instrText>
      </w:r>
      <w:r>
        <w:fldChar w:fldCharType="separate"/>
      </w:r>
      <w:r>
        <w:rPr>
          <w:rStyle w:val="55"/>
          <w:rFonts w:cs="Times New Roman"/>
        </w:rPr>
        <w:t>2.2建设项目竣工环境保护验收技术规范</w:t>
      </w:r>
      <w:r>
        <w:tab/>
      </w:r>
      <w:r>
        <w:fldChar w:fldCharType="begin"/>
      </w:r>
      <w:r>
        <w:instrText xml:space="preserve"> PAGEREF _Toc102039288 \h </w:instrText>
      </w:r>
      <w:r>
        <w:fldChar w:fldCharType="separate"/>
      </w:r>
      <w:r>
        <w:t>5</w:t>
      </w:r>
      <w:r>
        <w:fldChar w:fldCharType="end"/>
      </w:r>
      <w:r>
        <w:fldChar w:fldCharType="end"/>
      </w:r>
    </w:p>
    <w:p>
      <w:pPr>
        <w:pStyle w:val="37"/>
        <w:rPr>
          <w:sz w:val="21"/>
          <w:szCs w:val="22"/>
        </w:rPr>
      </w:pPr>
      <w:r>
        <w:fldChar w:fldCharType="begin"/>
      </w:r>
      <w:r>
        <w:instrText xml:space="preserve"> HYPERLINK \l "_Toc102039289" </w:instrText>
      </w:r>
      <w:r>
        <w:fldChar w:fldCharType="separate"/>
      </w:r>
      <w:r>
        <w:rPr>
          <w:rStyle w:val="55"/>
          <w:rFonts w:cs="Times New Roman"/>
        </w:rPr>
        <w:t>2.3建设项目环境影响报告书（表）及审批部门审批决定</w:t>
      </w:r>
      <w:r>
        <w:tab/>
      </w:r>
      <w:r>
        <w:fldChar w:fldCharType="begin"/>
      </w:r>
      <w:r>
        <w:instrText xml:space="preserve"> PAGEREF _Toc102039289 \h </w:instrText>
      </w:r>
      <w:r>
        <w:fldChar w:fldCharType="separate"/>
      </w:r>
      <w:r>
        <w:t>5</w:t>
      </w:r>
      <w:r>
        <w:fldChar w:fldCharType="end"/>
      </w:r>
      <w:r>
        <w:fldChar w:fldCharType="end"/>
      </w:r>
    </w:p>
    <w:p>
      <w:pPr>
        <w:pStyle w:val="37"/>
        <w:rPr>
          <w:sz w:val="21"/>
          <w:szCs w:val="22"/>
        </w:rPr>
      </w:pPr>
      <w:r>
        <w:fldChar w:fldCharType="begin"/>
      </w:r>
      <w:r>
        <w:instrText xml:space="preserve"> HYPERLINK \l "_Toc102039290" </w:instrText>
      </w:r>
      <w:r>
        <w:fldChar w:fldCharType="separate"/>
      </w:r>
      <w:r>
        <w:rPr>
          <w:rStyle w:val="55"/>
          <w:rFonts w:cs="Times New Roman"/>
        </w:rPr>
        <w:t>3.1地理位置及平面布置</w:t>
      </w:r>
      <w:r>
        <w:tab/>
      </w:r>
      <w:r>
        <w:fldChar w:fldCharType="begin"/>
      </w:r>
      <w:r>
        <w:instrText xml:space="preserve"> PAGEREF _Toc102039290 \h </w:instrText>
      </w:r>
      <w:r>
        <w:fldChar w:fldCharType="separate"/>
      </w:r>
      <w:r>
        <w:t>6</w:t>
      </w:r>
      <w:r>
        <w:fldChar w:fldCharType="end"/>
      </w:r>
      <w:r>
        <w:fldChar w:fldCharType="end"/>
      </w:r>
    </w:p>
    <w:p>
      <w:pPr>
        <w:pStyle w:val="37"/>
        <w:rPr>
          <w:sz w:val="21"/>
          <w:szCs w:val="22"/>
        </w:rPr>
      </w:pPr>
      <w:r>
        <w:fldChar w:fldCharType="begin"/>
      </w:r>
      <w:r>
        <w:instrText xml:space="preserve"> HYPERLINK \l "_Toc102039291" </w:instrText>
      </w:r>
      <w:r>
        <w:fldChar w:fldCharType="separate"/>
      </w:r>
      <w:r>
        <w:rPr>
          <w:rStyle w:val="55"/>
          <w:rFonts w:cs="Times New Roman"/>
        </w:rPr>
        <w:t>3.2建设内容</w:t>
      </w:r>
      <w:r>
        <w:tab/>
      </w:r>
      <w:r>
        <w:fldChar w:fldCharType="begin"/>
      </w:r>
      <w:r>
        <w:instrText xml:space="preserve"> PAGEREF _Toc102039291 \h </w:instrText>
      </w:r>
      <w:r>
        <w:fldChar w:fldCharType="separate"/>
      </w:r>
      <w:r>
        <w:t>8</w:t>
      </w:r>
      <w:r>
        <w:fldChar w:fldCharType="end"/>
      </w:r>
      <w:r>
        <w:fldChar w:fldCharType="end"/>
      </w:r>
    </w:p>
    <w:p>
      <w:pPr>
        <w:pStyle w:val="37"/>
        <w:rPr>
          <w:sz w:val="21"/>
          <w:szCs w:val="22"/>
        </w:rPr>
      </w:pPr>
      <w:r>
        <w:fldChar w:fldCharType="begin"/>
      </w:r>
      <w:r>
        <w:instrText xml:space="preserve"> HYPERLINK \l "_Toc102039292" </w:instrText>
      </w:r>
      <w:r>
        <w:fldChar w:fldCharType="separate"/>
      </w:r>
      <w:r>
        <w:rPr>
          <w:rStyle w:val="55"/>
          <w:rFonts w:cs="Times New Roman"/>
        </w:rPr>
        <w:t>3.3主要原辅材料</w:t>
      </w:r>
      <w:r>
        <w:tab/>
      </w:r>
      <w:r>
        <w:fldChar w:fldCharType="begin"/>
      </w:r>
      <w:r>
        <w:instrText xml:space="preserve"> PAGEREF _Toc102039292 \h </w:instrText>
      </w:r>
      <w:r>
        <w:fldChar w:fldCharType="separate"/>
      </w:r>
      <w:r>
        <w:t>13</w:t>
      </w:r>
      <w:r>
        <w:fldChar w:fldCharType="end"/>
      </w:r>
      <w:r>
        <w:fldChar w:fldCharType="end"/>
      </w:r>
    </w:p>
    <w:p>
      <w:pPr>
        <w:pStyle w:val="37"/>
        <w:rPr>
          <w:sz w:val="21"/>
          <w:szCs w:val="22"/>
        </w:rPr>
      </w:pPr>
      <w:r>
        <w:fldChar w:fldCharType="begin"/>
      </w:r>
      <w:r>
        <w:instrText xml:space="preserve"> HYPERLINK \l "_Toc102039293" </w:instrText>
      </w:r>
      <w:r>
        <w:fldChar w:fldCharType="separate"/>
      </w:r>
      <w:r>
        <w:rPr>
          <w:rStyle w:val="55"/>
          <w:rFonts w:cs="Times New Roman"/>
        </w:rPr>
        <w:t>3.4水源及水平衡</w:t>
      </w:r>
      <w:r>
        <w:tab/>
      </w:r>
      <w:r>
        <w:fldChar w:fldCharType="begin"/>
      </w:r>
      <w:r>
        <w:instrText xml:space="preserve"> PAGEREF _Toc102039293 \h </w:instrText>
      </w:r>
      <w:r>
        <w:fldChar w:fldCharType="separate"/>
      </w:r>
      <w:r>
        <w:t>13</w:t>
      </w:r>
      <w:r>
        <w:fldChar w:fldCharType="end"/>
      </w:r>
      <w:r>
        <w:fldChar w:fldCharType="end"/>
      </w:r>
    </w:p>
    <w:p>
      <w:pPr>
        <w:pStyle w:val="37"/>
        <w:rPr>
          <w:sz w:val="21"/>
          <w:szCs w:val="22"/>
        </w:rPr>
      </w:pPr>
      <w:r>
        <w:fldChar w:fldCharType="begin"/>
      </w:r>
      <w:r>
        <w:instrText xml:space="preserve"> HYPERLINK \l "_Toc102039294" </w:instrText>
      </w:r>
      <w:r>
        <w:fldChar w:fldCharType="separate"/>
      </w:r>
      <w:r>
        <w:rPr>
          <w:rStyle w:val="55"/>
          <w:rFonts w:cs="Times New Roman"/>
        </w:rPr>
        <w:t>3.5生产工艺</w:t>
      </w:r>
      <w:r>
        <w:tab/>
      </w:r>
      <w:r>
        <w:fldChar w:fldCharType="begin"/>
      </w:r>
      <w:r>
        <w:instrText xml:space="preserve"> PAGEREF _Toc102039294 \h </w:instrText>
      </w:r>
      <w:r>
        <w:fldChar w:fldCharType="separate"/>
      </w:r>
      <w:r>
        <w:t>16</w:t>
      </w:r>
      <w:r>
        <w:fldChar w:fldCharType="end"/>
      </w:r>
      <w:r>
        <w:fldChar w:fldCharType="end"/>
      </w:r>
    </w:p>
    <w:p>
      <w:pPr>
        <w:pStyle w:val="37"/>
        <w:rPr>
          <w:sz w:val="21"/>
          <w:szCs w:val="22"/>
        </w:rPr>
      </w:pPr>
      <w:r>
        <w:fldChar w:fldCharType="begin"/>
      </w:r>
      <w:r>
        <w:instrText xml:space="preserve"> HYPERLINK \l "_Toc102039295" </w:instrText>
      </w:r>
      <w:r>
        <w:fldChar w:fldCharType="separate"/>
      </w:r>
      <w:r>
        <w:rPr>
          <w:rStyle w:val="55"/>
          <w:rFonts w:cs="Times New Roman"/>
        </w:rPr>
        <w:t>3.6项目变动情况</w:t>
      </w:r>
      <w:r>
        <w:tab/>
      </w:r>
      <w:r>
        <w:fldChar w:fldCharType="begin"/>
      </w:r>
      <w:r>
        <w:instrText xml:space="preserve"> PAGEREF _Toc102039295 \h </w:instrText>
      </w:r>
      <w:r>
        <w:fldChar w:fldCharType="separate"/>
      </w:r>
      <w:r>
        <w:t>17</w:t>
      </w:r>
      <w:r>
        <w:fldChar w:fldCharType="end"/>
      </w:r>
      <w:r>
        <w:fldChar w:fldCharType="end"/>
      </w:r>
    </w:p>
    <w:p>
      <w:pPr>
        <w:pStyle w:val="31"/>
        <w:rPr>
          <w:sz w:val="21"/>
          <w:szCs w:val="22"/>
        </w:rPr>
      </w:pPr>
      <w:r>
        <w:fldChar w:fldCharType="begin"/>
      </w:r>
      <w:r>
        <w:instrText xml:space="preserve"> HYPERLINK \l "_Toc102039296" </w:instrText>
      </w:r>
      <w:r>
        <w:fldChar w:fldCharType="separate"/>
      </w:r>
      <w:r>
        <w:rPr>
          <w:rStyle w:val="55"/>
          <w:rFonts w:cs="Times New Roman"/>
        </w:rPr>
        <w:t>4 环境保护设施</w:t>
      </w:r>
      <w:r>
        <w:tab/>
      </w:r>
      <w:r>
        <w:fldChar w:fldCharType="begin"/>
      </w:r>
      <w:r>
        <w:instrText xml:space="preserve"> PAGEREF _Toc102039296 \h </w:instrText>
      </w:r>
      <w:r>
        <w:fldChar w:fldCharType="separate"/>
      </w:r>
      <w:r>
        <w:t>18</w:t>
      </w:r>
      <w:r>
        <w:fldChar w:fldCharType="end"/>
      </w:r>
      <w:r>
        <w:fldChar w:fldCharType="end"/>
      </w:r>
    </w:p>
    <w:p>
      <w:pPr>
        <w:pStyle w:val="37"/>
        <w:rPr>
          <w:sz w:val="21"/>
          <w:szCs w:val="22"/>
        </w:rPr>
      </w:pPr>
      <w:r>
        <w:fldChar w:fldCharType="begin"/>
      </w:r>
      <w:r>
        <w:instrText xml:space="preserve"> HYPERLINK \l "_Toc102039297" </w:instrText>
      </w:r>
      <w:r>
        <w:fldChar w:fldCharType="separate"/>
      </w:r>
      <w:r>
        <w:rPr>
          <w:rStyle w:val="55"/>
          <w:rFonts w:cs="Times New Roman"/>
        </w:rPr>
        <w:t>4.1污染物治理/处置设施</w:t>
      </w:r>
      <w:r>
        <w:tab/>
      </w:r>
      <w:r>
        <w:fldChar w:fldCharType="begin"/>
      </w:r>
      <w:r>
        <w:instrText xml:space="preserve"> PAGEREF _Toc102039297 \h </w:instrText>
      </w:r>
      <w:r>
        <w:fldChar w:fldCharType="separate"/>
      </w:r>
      <w:r>
        <w:t>18</w:t>
      </w:r>
      <w:r>
        <w:fldChar w:fldCharType="end"/>
      </w:r>
      <w:r>
        <w:fldChar w:fldCharType="end"/>
      </w:r>
    </w:p>
    <w:p>
      <w:pPr>
        <w:pStyle w:val="37"/>
        <w:rPr>
          <w:sz w:val="21"/>
          <w:szCs w:val="22"/>
        </w:rPr>
      </w:pPr>
      <w:r>
        <w:fldChar w:fldCharType="begin"/>
      </w:r>
      <w:r>
        <w:instrText xml:space="preserve"> HYPERLINK \l "_Toc102039298" </w:instrText>
      </w:r>
      <w:r>
        <w:fldChar w:fldCharType="separate"/>
      </w:r>
      <w:r>
        <w:rPr>
          <w:rStyle w:val="55"/>
          <w:rFonts w:cs="Times New Roman"/>
        </w:rPr>
        <w:t>4.2其他环境保护设施</w:t>
      </w:r>
      <w:r>
        <w:tab/>
      </w:r>
      <w:r>
        <w:fldChar w:fldCharType="begin"/>
      </w:r>
      <w:r>
        <w:instrText xml:space="preserve"> PAGEREF _Toc102039298 \h </w:instrText>
      </w:r>
      <w:r>
        <w:fldChar w:fldCharType="separate"/>
      </w:r>
      <w:r>
        <w:t>20</w:t>
      </w:r>
      <w:r>
        <w:fldChar w:fldCharType="end"/>
      </w:r>
      <w:r>
        <w:fldChar w:fldCharType="end"/>
      </w:r>
    </w:p>
    <w:p>
      <w:pPr>
        <w:pStyle w:val="37"/>
        <w:rPr>
          <w:sz w:val="21"/>
          <w:szCs w:val="22"/>
        </w:rPr>
      </w:pPr>
      <w:r>
        <w:fldChar w:fldCharType="begin"/>
      </w:r>
      <w:r>
        <w:instrText xml:space="preserve"> HYPERLINK \l "_Toc102039299" </w:instrText>
      </w:r>
      <w:r>
        <w:fldChar w:fldCharType="separate"/>
      </w:r>
      <w:r>
        <w:rPr>
          <w:rStyle w:val="55"/>
          <w:rFonts w:cs="Times New Roman"/>
        </w:rPr>
        <w:t>4.3环保设施投资及“三同时”落实情况</w:t>
      </w:r>
      <w:r>
        <w:tab/>
      </w:r>
      <w:r>
        <w:fldChar w:fldCharType="begin"/>
      </w:r>
      <w:r>
        <w:instrText xml:space="preserve"> PAGEREF _Toc102039299 \h </w:instrText>
      </w:r>
      <w:r>
        <w:fldChar w:fldCharType="separate"/>
      </w:r>
      <w:r>
        <w:t>20</w:t>
      </w:r>
      <w:r>
        <w:fldChar w:fldCharType="end"/>
      </w:r>
      <w:r>
        <w:fldChar w:fldCharType="end"/>
      </w:r>
    </w:p>
    <w:p>
      <w:pPr>
        <w:pStyle w:val="31"/>
        <w:rPr>
          <w:sz w:val="21"/>
          <w:szCs w:val="22"/>
        </w:rPr>
      </w:pPr>
      <w:r>
        <w:fldChar w:fldCharType="begin"/>
      </w:r>
      <w:r>
        <w:instrText xml:space="preserve"> HYPERLINK \l "_Toc102039300" </w:instrText>
      </w:r>
      <w:r>
        <w:fldChar w:fldCharType="separate"/>
      </w:r>
      <w:r>
        <w:rPr>
          <w:rStyle w:val="55"/>
          <w:rFonts w:cs="Times New Roman"/>
        </w:rPr>
        <w:t>5 环评报告的主要结论与建议及审批部门审批决定</w:t>
      </w:r>
      <w:r>
        <w:tab/>
      </w:r>
      <w:r>
        <w:fldChar w:fldCharType="begin"/>
      </w:r>
      <w:r>
        <w:instrText xml:space="preserve"> PAGEREF _Toc102039300 \h </w:instrText>
      </w:r>
      <w:r>
        <w:fldChar w:fldCharType="separate"/>
      </w:r>
      <w:r>
        <w:t>23</w:t>
      </w:r>
      <w:r>
        <w:fldChar w:fldCharType="end"/>
      </w:r>
      <w:r>
        <w:fldChar w:fldCharType="end"/>
      </w:r>
    </w:p>
    <w:p>
      <w:pPr>
        <w:pStyle w:val="37"/>
        <w:rPr>
          <w:sz w:val="21"/>
          <w:szCs w:val="22"/>
        </w:rPr>
      </w:pPr>
      <w:r>
        <w:fldChar w:fldCharType="begin"/>
      </w:r>
      <w:r>
        <w:instrText xml:space="preserve"> HYPERLINK \l "_Toc102039301" </w:instrText>
      </w:r>
      <w:r>
        <w:fldChar w:fldCharType="separate"/>
      </w:r>
      <w:r>
        <w:rPr>
          <w:rStyle w:val="55"/>
          <w:rFonts w:cs="Times New Roman"/>
        </w:rPr>
        <w:t>5.1环评报告的主要结论与建议</w:t>
      </w:r>
      <w:r>
        <w:tab/>
      </w:r>
      <w:r>
        <w:fldChar w:fldCharType="begin"/>
      </w:r>
      <w:r>
        <w:instrText xml:space="preserve"> PAGEREF _Toc102039301 \h </w:instrText>
      </w:r>
      <w:r>
        <w:fldChar w:fldCharType="separate"/>
      </w:r>
      <w:r>
        <w:t>23</w:t>
      </w:r>
      <w:r>
        <w:fldChar w:fldCharType="end"/>
      </w:r>
      <w:r>
        <w:fldChar w:fldCharType="end"/>
      </w:r>
    </w:p>
    <w:p>
      <w:pPr>
        <w:pStyle w:val="37"/>
        <w:rPr>
          <w:sz w:val="21"/>
          <w:szCs w:val="22"/>
        </w:rPr>
      </w:pPr>
      <w:r>
        <w:fldChar w:fldCharType="begin"/>
      </w:r>
      <w:r>
        <w:instrText xml:space="preserve"> HYPERLINK \l "_Toc102039302" </w:instrText>
      </w:r>
      <w:r>
        <w:fldChar w:fldCharType="separate"/>
      </w:r>
      <w:r>
        <w:rPr>
          <w:rStyle w:val="55"/>
          <w:rFonts w:cs="Times New Roman"/>
        </w:rPr>
        <w:t>5.2审批部门审批决定（摘录）</w:t>
      </w:r>
      <w:r>
        <w:tab/>
      </w:r>
      <w:r>
        <w:fldChar w:fldCharType="begin"/>
      </w:r>
      <w:r>
        <w:instrText xml:space="preserve"> PAGEREF _Toc102039302 \h </w:instrText>
      </w:r>
      <w:r>
        <w:fldChar w:fldCharType="separate"/>
      </w:r>
      <w:r>
        <w:t>25</w:t>
      </w:r>
      <w:r>
        <w:fldChar w:fldCharType="end"/>
      </w:r>
      <w:r>
        <w:fldChar w:fldCharType="end"/>
      </w:r>
    </w:p>
    <w:p>
      <w:pPr>
        <w:pStyle w:val="31"/>
        <w:rPr>
          <w:sz w:val="21"/>
          <w:szCs w:val="22"/>
        </w:rPr>
      </w:pPr>
      <w:r>
        <w:fldChar w:fldCharType="begin"/>
      </w:r>
      <w:r>
        <w:instrText xml:space="preserve"> HYPERLINK \l "_Toc102039303" </w:instrText>
      </w:r>
      <w:r>
        <w:fldChar w:fldCharType="separate"/>
      </w:r>
      <w:r>
        <w:rPr>
          <w:rStyle w:val="55"/>
          <w:rFonts w:cs="Times New Roman"/>
        </w:rPr>
        <w:t>6 验收执行标准</w:t>
      </w:r>
      <w:r>
        <w:tab/>
      </w:r>
      <w:r>
        <w:fldChar w:fldCharType="begin"/>
      </w:r>
      <w:r>
        <w:instrText xml:space="preserve"> PAGEREF _Toc102039303 \h </w:instrText>
      </w:r>
      <w:r>
        <w:fldChar w:fldCharType="separate"/>
      </w:r>
      <w:r>
        <w:t>27</w:t>
      </w:r>
      <w:r>
        <w:fldChar w:fldCharType="end"/>
      </w:r>
      <w:r>
        <w:fldChar w:fldCharType="end"/>
      </w:r>
    </w:p>
    <w:p>
      <w:pPr>
        <w:pStyle w:val="37"/>
        <w:rPr>
          <w:sz w:val="21"/>
          <w:szCs w:val="22"/>
        </w:rPr>
      </w:pPr>
      <w:r>
        <w:fldChar w:fldCharType="begin"/>
      </w:r>
      <w:r>
        <w:instrText xml:space="preserve"> HYPERLINK \l "_Toc102039304" </w:instrText>
      </w:r>
      <w:r>
        <w:fldChar w:fldCharType="separate"/>
      </w:r>
      <w:r>
        <w:rPr>
          <w:rStyle w:val="55"/>
          <w:rFonts w:cs="Times New Roman"/>
        </w:rPr>
        <w:t>6.1废水排放执行标准</w:t>
      </w:r>
      <w:r>
        <w:tab/>
      </w:r>
      <w:r>
        <w:fldChar w:fldCharType="begin"/>
      </w:r>
      <w:r>
        <w:instrText xml:space="preserve"> PAGEREF _Toc102039304 \h </w:instrText>
      </w:r>
      <w:r>
        <w:fldChar w:fldCharType="separate"/>
      </w:r>
      <w:r>
        <w:t>27</w:t>
      </w:r>
      <w:r>
        <w:fldChar w:fldCharType="end"/>
      </w:r>
      <w:r>
        <w:fldChar w:fldCharType="end"/>
      </w:r>
    </w:p>
    <w:p>
      <w:pPr>
        <w:pStyle w:val="37"/>
        <w:rPr>
          <w:sz w:val="21"/>
          <w:szCs w:val="22"/>
        </w:rPr>
      </w:pPr>
      <w:r>
        <w:fldChar w:fldCharType="begin"/>
      </w:r>
      <w:r>
        <w:instrText xml:space="preserve"> HYPERLINK \l "_Toc102039305" </w:instrText>
      </w:r>
      <w:r>
        <w:fldChar w:fldCharType="separate"/>
      </w:r>
      <w:r>
        <w:rPr>
          <w:rStyle w:val="55"/>
          <w:rFonts w:cs="Times New Roman"/>
        </w:rPr>
        <w:t>6.2废气排放执行标准</w:t>
      </w:r>
      <w:r>
        <w:tab/>
      </w:r>
      <w:r>
        <w:fldChar w:fldCharType="begin"/>
      </w:r>
      <w:r>
        <w:instrText xml:space="preserve"> PAGEREF _Toc102039305 \h </w:instrText>
      </w:r>
      <w:r>
        <w:fldChar w:fldCharType="separate"/>
      </w:r>
      <w:r>
        <w:t>27</w:t>
      </w:r>
      <w:r>
        <w:fldChar w:fldCharType="end"/>
      </w:r>
      <w:r>
        <w:fldChar w:fldCharType="end"/>
      </w:r>
    </w:p>
    <w:p>
      <w:pPr>
        <w:pStyle w:val="37"/>
        <w:rPr>
          <w:sz w:val="21"/>
          <w:szCs w:val="22"/>
        </w:rPr>
      </w:pPr>
      <w:r>
        <w:fldChar w:fldCharType="begin"/>
      </w:r>
      <w:r>
        <w:instrText xml:space="preserve"> HYPERLINK \l "_Toc102039306" </w:instrText>
      </w:r>
      <w:r>
        <w:fldChar w:fldCharType="separate"/>
      </w:r>
      <w:r>
        <w:rPr>
          <w:rStyle w:val="55"/>
          <w:rFonts w:cs="Times New Roman"/>
        </w:rPr>
        <w:t>6.3噪声执行标准</w:t>
      </w:r>
      <w:r>
        <w:tab/>
      </w:r>
      <w:r>
        <w:fldChar w:fldCharType="begin"/>
      </w:r>
      <w:r>
        <w:instrText xml:space="preserve"> PAGEREF _Toc102039306 \h </w:instrText>
      </w:r>
      <w:r>
        <w:fldChar w:fldCharType="separate"/>
      </w:r>
      <w:r>
        <w:t>28</w:t>
      </w:r>
      <w:r>
        <w:fldChar w:fldCharType="end"/>
      </w:r>
      <w:r>
        <w:fldChar w:fldCharType="end"/>
      </w:r>
    </w:p>
    <w:p>
      <w:pPr>
        <w:pStyle w:val="37"/>
        <w:rPr>
          <w:sz w:val="21"/>
          <w:szCs w:val="22"/>
        </w:rPr>
      </w:pPr>
      <w:r>
        <w:fldChar w:fldCharType="begin"/>
      </w:r>
      <w:r>
        <w:instrText xml:space="preserve"> HYPERLINK \l "_Toc102039307" </w:instrText>
      </w:r>
      <w:r>
        <w:fldChar w:fldCharType="separate"/>
      </w:r>
      <w:r>
        <w:rPr>
          <w:rStyle w:val="55"/>
          <w:rFonts w:cs="Times New Roman"/>
        </w:rPr>
        <w:t>6.4 固废</w:t>
      </w:r>
      <w:r>
        <w:tab/>
      </w:r>
      <w:r>
        <w:fldChar w:fldCharType="begin"/>
      </w:r>
      <w:r>
        <w:instrText xml:space="preserve"> PAGEREF _Toc102039307 \h </w:instrText>
      </w:r>
      <w:r>
        <w:fldChar w:fldCharType="separate"/>
      </w:r>
      <w:r>
        <w:t>28</w:t>
      </w:r>
      <w:r>
        <w:fldChar w:fldCharType="end"/>
      </w:r>
      <w:r>
        <w:fldChar w:fldCharType="end"/>
      </w:r>
    </w:p>
    <w:p>
      <w:pPr>
        <w:pStyle w:val="31"/>
        <w:rPr>
          <w:sz w:val="21"/>
          <w:szCs w:val="22"/>
        </w:rPr>
      </w:pPr>
      <w:r>
        <w:fldChar w:fldCharType="begin"/>
      </w:r>
      <w:r>
        <w:instrText xml:space="preserve"> HYPERLINK \l "_Toc102039308" </w:instrText>
      </w:r>
      <w:r>
        <w:fldChar w:fldCharType="separate"/>
      </w:r>
      <w:r>
        <w:rPr>
          <w:rStyle w:val="55"/>
          <w:rFonts w:cs="Times New Roman"/>
        </w:rPr>
        <w:t>7 验收监测内容</w:t>
      </w:r>
      <w:r>
        <w:tab/>
      </w:r>
      <w:r>
        <w:fldChar w:fldCharType="begin"/>
      </w:r>
      <w:r>
        <w:instrText xml:space="preserve"> PAGEREF _Toc102039308 \h </w:instrText>
      </w:r>
      <w:r>
        <w:fldChar w:fldCharType="separate"/>
      </w:r>
      <w:r>
        <w:t>30</w:t>
      </w:r>
      <w:r>
        <w:fldChar w:fldCharType="end"/>
      </w:r>
      <w:r>
        <w:fldChar w:fldCharType="end"/>
      </w:r>
    </w:p>
    <w:p>
      <w:pPr>
        <w:pStyle w:val="37"/>
        <w:rPr>
          <w:sz w:val="21"/>
          <w:szCs w:val="22"/>
        </w:rPr>
      </w:pPr>
      <w:r>
        <w:fldChar w:fldCharType="begin"/>
      </w:r>
      <w:r>
        <w:instrText xml:space="preserve"> HYPERLINK \l "_Toc102039309" </w:instrText>
      </w:r>
      <w:r>
        <w:fldChar w:fldCharType="separate"/>
      </w:r>
      <w:r>
        <w:rPr>
          <w:rStyle w:val="55"/>
          <w:rFonts w:cs="Times New Roman"/>
        </w:rPr>
        <w:t>7.1废水</w:t>
      </w:r>
      <w:r>
        <w:tab/>
      </w:r>
      <w:r>
        <w:fldChar w:fldCharType="begin"/>
      </w:r>
      <w:r>
        <w:instrText xml:space="preserve"> PAGEREF _Toc102039309 \h </w:instrText>
      </w:r>
      <w:r>
        <w:fldChar w:fldCharType="separate"/>
      </w:r>
      <w:r>
        <w:t>30</w:t>
      </w:r>
      <w:r>
        <w:fldChar w:fldCharType="end"/>
      </w:r>
      <w:r>
        <w:fldChar w:fldCharType="end"/>
      </w:r>
    </w:p>
    <w:p>
      <w:pPr>
        <w:pStyle w:val="37"/>
        <w:rPr>
          <w:sz w:val="21"/>
          <w:szCs w:val="22"/>
        </w:rPr>
      </w:pPr>
      <w:r>
        <w:fldChar w:fldCharType="begin"/>
      </w:r>
      <w:r>
        <w:instrText xml:space="preserve"> HYPERLINK \l "_Toc102039310" </w:instrText>
      </w:r>
      <w:r>
        <w:fldChar w:fldCharType="separate"/>
      </w:r>
      <w:r>
        <w:rPr>
          <w:rStyle w:val="55"/>
          <w:rFonts w:cs="Times New Roman"/>
        </w:rPr>
        <w:t>7.2废气</w:t>
      </w:r>
      <w:r>
        <w:tab/>
      </w:r>
      <w:r>
        <w:fldChar w:fldCharType="begin"/>
      </w:r>
      <w:r>
        <w:instrText xml:space="preserve"> PAGEREF _Toc102039310 \h </w:instrText>
      </w:r>
      <w:r>
        <w:fldChar w:fldCharType="separate"/>
      </w:r>
      <w:r>
        <w:t>30</w:t>
      </w:r>
      <w:r>
        <w:fldChar w:fldCharType="end"/>
      </w:r>
      <w:r>
        <w:fldChar w:fldCharType="end"/>
      </w:r>
    </w:p>
    <w:p>
      <w:pPr>
        <w:pStyle w:val="37"/>
        <w:rPr>
          <w:sz w:val="21"/>
          <w:szCs w:val="22"/>
        </w:rPr>
      </w:pPr>
      <w:r>
        <w:fldChar w:fldCharType="begin"/>
      </w:r>
      <w:r>
        <w:instrText xml:space="preserve"> HYPERLINK \l "_Toc102039311" </w:instrText>
      </w:r>
      <w:r>
        <w:fldChar w:fldCharType="separate"/>
      </w:r>
      <w:r>
        <w:rPr>
          <w:rStyle w:val="55"/>
          <w:rFonts w:cs="Times New Roman"/>
        </w:rPr>
        <w:t>7.3噪声</w:t>
      </w:r>
      <w:r>
        <w:tab/>
      </w:r>
      <w:r>
        <w:fldChar w:fldCharType="begin"/>
      </w:r>
      <w:r>
        <w:instrText xml:space="preserve"> PAGEREF _Toc102039311 \h </w:instrText>
      </w:r>
      <w:r>
        <w:fldChar w:fldCharType="separate"/>
      </w:r>
      <w:r>
        <w:t>31</w:t>
      </w:r>
      <w:r>
        <w:fldChar w:fldCharType="end"/>
      </w:r>
      <w:r>
        <w:fldChar w:fldCharType="end"/>
      </w:r>
    </w:p>
    <w:p>
      <w:pPr>
        <w:pStyle w:val="31"/>
        <w:rPr>
          <w:sz w:val="21"/>
          <w:szCs w:val="22"/>
        </w:rPr>
      </w:pPr>
      <w:r>
        <w:fldChar w:fldCharType="begin"/>
      </w:r>
      <w:r>
        <w:instrText xml:space="preserve"> HYPERLINK \l "_Toc102039312" </w:instrText>
      </w:r>
      <w:r>
        <w:fldChar w:fldCharType="separate"/>
      </w:r>
      <w:r>
        <w:rPr>
          <w:rStyle w:val="55"/>
          <w:rFonts w:cs="Times New Roman"/>
        </w:rPr>
        <w:t>8 质量保证及质量控制</w:t>
      </w:r>
      <w:r>
        <w:tab/>
      </w:r>
      <w:r>
        <w:fldChar w:fldCharType="begin"/>
      </w:r>
      <w:r>
        <w:instrText xml:space="preserve"> PAGEREF _Toc102039312 \h </w:instrText>
      </w:r>
      <w:r>
        <w:fldChar w:fldCharType="separate"/>
      </w:r>
      <w:r>
        <w:t>32</w:t>
      </w:r>
      <w:r>
        <w:fldChar w:fldCharType="end"/>
      </w:r>
      <w:r>
        <w:fldChar w:fldCharType="end"/>
      </w:r>
    </w:p>
    <w:p>
      <w:pPr>
        <w:pStyle w:val="37"/>
        <w:rPr>
          <w:sz w:val="21"/>
          <w:szCs w:val="22"/>
        </w:rPr>
      </w:pPr>
      <w:r>
        <w:fldChar w:fldCharType="begin"/>
      </w:r>
      <w:r>
        <w:instrText xml:space="preserve"> HYPERLINK \l "_Toc102039313" </w:instrText>
      </w:r>
      <w:r>
        <w:fldChar w:fldCharType="separate"/>
      </w:r>
      <w:r>
        <w:rPr>
          <w:rStyle w:val="55"/>
          <w:rFonts w:cs="Times New Roman"/>
        </w:rPr>
        <w:t>8.1监测分析方法</w:t>
      </w:r>
      <w:r>
        <w:tab/>
      </w:r>
      <w:r>
        <w:fldChar w:fldCharType="begin"/>
      </w:r>
      <w:r>
        <w:instrText xml:space="preserve"> PAGEREF _Toc102039313 \h </w:instrText>
      </w:r>
      <w:r>
        <w:fldChar w:fldCharType="separate"/>
      </w:r>
      <w:r>
        <w:t>32</w:t>
      </w:r>
      <w:r>
        <w:fldChar w:fldCharType="end"/>
      </w:r>
      <w:r>
        <w:fldChar w:fldCharType="end"/>
      </w:r>
    </w:p>
    <w:p>
      <w:pPr>
        <w:pStyle w:val="37"/>
        <w:rPr>
          <w:sz w:val="21"/>
          <w:szCs w:val="22"/>
        </w:rPr>
      </w:pPr>
      <w:r>
        <w:fldChar w:fldCharType="begin"/>
      </w:r>
      <w:r>
        <w:instrText xml:space="preserve"> HYPERLINK \l "_Toc102039314" </w:instrText>
      </w:r>
      <w:r>
        <w:fldChar w:fldCharType="separate"/>
      </w:r>
      <w:r>
        <w:rPr>
          <w:rStyle w:val="55"/>
          <w:rFonts w:cs="Times New Roman"/>
        </w:rPr>
        <w:t>8.2监测仪器</w:t>
      </w:r>
      <w:r>
        <w:tab/>
      </w:r>
      <w:r>
        <w:fldChar w:fldCharType="begin"/>
      </w:r>
      <w:r>
        <w:instrText xml:space="preserve"> PAGEREF _Toc102039314 \h </w:instrText>
      </w:r>
      <w:r>
        <w:fldChar w:fldCharType="separate"/>
      </w:r>
      <w:r>
        <w:t>32</w:t>
      </w:r>
      <w:r>
        <w:fldChar w:fldCharType="end"/>
      </w:r>
      <w:r>
        <w:fldChar w:fldCharType="end"/>
      </w:r>
    </w:p>
    <w:p>
      <w:pPr>
        <w:pStyle w:val="37"/>
        <w:rPr>
          <w:sz w:val="21"/>
          <w:szCs w:val="22"/>
        </w:rPr>
      </w:pPr>
      <w:r>
        <w:fldChar w:fldCharType="begin"/>
      </w:r>
      <w:r>
        <w:instrText xml:space="preserve"> HYPERLINK \l "_Toc102039315" </w:instrText>
      </w:r>
      <w:r>
        <w:fldChar w:fldCharType="separate"/>
      </w:r>
      <w:r>
        <w:rPr>
          <w:rStyle w:val="55"/>
          <w:rFonts w:cs="Times New Roman"/>
        </w:rPr>
        <w:t>8.3监测人员</w:t>
      </w:r>
      <w:r>
        <w:tab/>
      </w:r>
      <w:r>
        <w:fldChar w:fldCharType="begin"/>
      </w:r>
      <w:r>
        <w:instrText xml:space="preserve"> PAGEREF _Toc102039315 \h </w:instrText>
      </w:r>
      <w:r>
        <w:fldChar w:fldCharType="separate"/>
      </w:r>
      <w:r>
        <w:t>33</w:t>
      </w:r>
      <w:r>
        <w:fldChar w:fldCharType="end"/>
      </w:r>
      <w:r>
        <w:fldChar w:fldCharType="end"/>
      </w:r>
    </w:p>
    <w:p>
      <w:pPr>
        <w:pStyle w:val="37"/>
        <w:rPr>
          <w:sz w:val="21"/>
          <w:szCs w:val="22"/>
        </w:rPr>
      </w:pPr>
      <w:r>
        <w:fldChar w:fldCharType="begin"/>
      </w:r>
      <w:r>
        <w:instrText xml:space="preserve"> HYPERLINK \l "_Toc102039316" </w:instrText>
      </w:r>
      <w:r>
        <w:fldChar w:fldCharType="separate"/>
      </w:r>
      <w:r>
        <w:rPr>
          <w:rStyle w:val="55"/>
          <w:rFonts w:cs="Times New Roman"/>
        </w:rPr>
        <w:t>8.4质量保证</w:t>
      </w:r>
      <w:r>
        <w:tab/>
      </w:r>
      <w:r>
        <w:fldChar w:fldCharType="begin"/>
      </w:r>
      <w:r>
        <w:instrText xml:space="preserve"> PAGEREF _Toc102039316 \h </w:instrText>
      </w:r>
      <w:r>
        <w:fldChar w:fldCharType="separate"/>
      </w:r>
      <w:r>
        <w:t>34</w:t>
      </w:r>
      <w:r>
        <w:fldChar w:fldCharType="end"/>
      </w:r>
      <w:r>
        <w:fldChar w:fldCharType="end"/>
      </w:r>
    </w:p>
    <w:p>
      <w:pPr>
        <w:pStyle w:val="31"/>
        <w:rPr>
          <w:sz w:val="21"/>
          <w:szCs w:val="22"/>
        </w:rPr>
      </w:pPr>
      <w:r>
        <w:fldChar w:fldCharType="begin"/>
      </w:r>
      <w:r>
        <w:instrText xml:space="preserve"> HYPERLINK \l "_Toc102039317" </w:instrText>
      </w:r>
      <w:r>
        <w:fldChar w:fldCharType="separate"/>
      </w:r>
      <w:r>
        <w:rPr>
          <w:rStyle w:val="55"/>
          <w:rFonts w:cs="Times New Roman"/>
        </w:rPr>
        <w:t>9 验收监测结果</w:t>
      </w:r>
      <w:r>
        <w:tab/>
      </w:r>
      <w:r>
        <w:fldChar w:fldCharType="begin"/>
      </w:r>
      <w:r>
        <w:instrText xml:space="preserve"> PAGEREF _Toc102039317 \h </w:instrText>
      </w:r>
      <w:r>
        <w:fldChar w:fldCharType="separate"/>
      </w:r>
      <w:r>
        <w:t>36</w:t>
      </w:r>
      <w:r>
        <w:fldChar w:fldCharType="end"/>
      </w:r>
      <w:r>
        <w:fldChar w:fldCharType="end"/>
      </w:r>
    </w:p>
    <w:p>
      <w:pPr>
        <w:pStyle w:val="37"/>
        <w:rPr>
          <w:sz w:val="21"/>
          <w:szCs w:val="22"/>
        </w:rPr>
      </w:pPr>
      <w:r>
        <w:fldChar w:fldCharType="begin"/>
      </w:r>
      <w:r>
        <w:instrText xml:space="preserve"> HYPERLINK \l "_Toc102039318" </w:instrText>
      </w:r>
      <w:r>
        <w:fldChar w:fldCharType="separate"/>
      </w:r>
      <w:r>
        <w:rPr>
          <w:rStyle w:val="55"/>
          <w:rFonts w:cs="Times New Roman"/>
        </w:rPr>
        <w:t>9.1生产工况</w:t>
      </w:r>
      <w:r>
        <w:tab/>
      </w:r>
      <w:r>
        <w:fldChar w:fldCharType="begin"/>
      </w:r>
      <w:r>
        <w:instrText xml:space="preserve"> PAGEREF _Toc102039318 \h </w:instrText>
      </w:r>
      <w:r>
        <w:fldChar w:fldCharType="separate"/>
      </w:r>
      <w:r>
        <w:t>36</w:t>
      </w:r>
      <w:r>
        <w:fldChar w:fldCharType="end"/>
      </w:r>
      <w:r>
        <w:fldChar w:fldCharType="end"/>
      </w:r>
    </w:p>
    <w:p>
      <w:pPr>
        <w:pStyle w:val="37"/>
        <w:rPr>
          <w:sz w:val="21"/>
          <w:szCs w:val="22"/>
        </w:rPr>
      </w:pPr>
      <w:r>
        <w:fldChar w:fldCharType="begin"/>
      </w:r>
      <w:r>
        <w:instrText xml:space="preserve"> HYPERLINK \l "_Toc102039319" </w:instrText>
      </w:r>
      <w:r>
        <w:fldChar w:fldCharType="separate"/>
      </w:r>
      <w:r>
        <w:rPr>
          <w:rStyle w:val="55"/>
          <w:rFonts w:cs="Times New Roman"/>
        </w:rPr>
        <w:t>9.2废水监测结果</w:t>
      </w:r>
      <w:r>
        <w:tab/>
      </w:r>
      <w:r>
        <w:fldChar w:fldCharType="begin"/>
      </w:r>
      <w:r>
        <w:instrText xml:space="preserve"> PAGEREF _Toc102039319 \h </w:instrText>
      </w:r>
      <w:r>
        <w:fldChar w:fldCharType="separate"/>
      </w:r>
      <w:r>
        <w:t>36</w:t>
      </w:r>
      <w:r>
        <w:fldChar w:fldCharType="end"/>
      </w:r>
      <w:r>
        <w:fldChar w:fldCharType="end"/>
      </w:r>
    </w:p>
    <w:p>
      <w:pPr>
        <w:pStyle w:val="37"/>
        <w:rPr>
          <w:sz w:val="21"/>
          <w:szCs w:val="22"/>
        </w:rPr>
      </w:pPr>
      <w:r>
        <w:fldChar w:fldCharType="begin"/>
      </w:r>
      <w:r>
        <w:instrText xml:space="preserve"> HYPERLINK \l "_Toc102039320" </w:instrText>
      </w:r>
      <w:r>
        <w:fldChar w:fldCharType="separate"/>
      </w:r>
      <w:r>
        <w:rPr>
          <w:rStyle w:val="55"/>
          <w:rFonts w:cs="Times New Roman"/>
        </w:rPr>
        <w:t>9.3 废气</w:t>
      </w:r>
      <w:r>
        <w:tab/>
      </w:r>
      <w:r>
        <w:fldChar w:fldCharType="begin"/>
      </w:r>
      <w:r>
        <w:instrText xml:space="preserve"> PAGEREF _Toc102039320 \h </w:instrText>
      </w:r>
      <w:r>
        <w:fldChar w:fldCharType="separate"/>
      </w:r>
      <w:r>
        <w:t>38</w:t>
      </w:r>
      <w:r>
        <w:fldChar w:fldCharType="end"/>
      </w:r>
      <w:r>
        <w:fldChar w:fldCharType="end"/>
      </w:r>
    </w:p>
    <w:p>
      <w:pPr>
        <w:pStyle w:val="37"/>
        <w:rPr>
          <w:sz w:val="21"/>
          <w:szCs w:val="22"/>
        </w:rPr>
      </w:pPr>
      <w:r>
        <w:fldChar w:fldCharType="begin"/>
      </w:r>
      <w:r>
        <w:instrText xml:space="preserve"> HYPERLINK \l "_Toc102039321" </w:instrText>
      </w:r>
      <w:r>
        <w:fldChar w:fldCharType="separate"/>
      </w:r>
      <w:r>
        <w:rPr>
          <w:rStyle w:val="55"/>
          <w:rFonts w:cs="Times New Roman"/>
        </w:rPr>
        <w:t>9.5 噪声</w:t>
      </w:r>
      <w:r>
        <w:tab/>
      </w:r>
      <w:r>
        <w:fldChar w:fldCharType="begin"/>
      </w:r>
      <w:r>
        <w:instrText xml:space="preserve"> PAGEREF _Toc102039321 \h </w:instrText>
      </w:r>
      <w:r>
        <w:fldChar w:fldCharType="separate"/>
      </w:r>
      <w:r>
        <w:t>43</w:t>
      </w:r>
      <w:r>
        <w:fldChar w:fldCharType="end"/>
      </w:r>
      <w:r>
        <w:fldChar w:fldCharType="end"/>
      </w:r>
    </w:p>
    <w:p>
      <w:pPr>
        <w:pStyle w:val="37"/>
        <w:rPr>
          <w:sz w:val="21"/>
          <w:szCs w:val="22"/>
        </w:rPr>
      </w:pPr>
      <w:r>
        <w:fldChar w:fldCharType="begin"/>
      </w:r>
      <w:r>
        <w:instrText xml:space="preserve"> HYPERLINK \l "_Toc102039322" </w:instrText>
      </w:r>
      <w:r>
        <w:fldChar w:fldCharType="separate"/>
      </w:r>
      <w:r>
        <w:rPr>
          <w:rStyle w:val="55"/>
          <w:rFonts w:cs="Times New Roman"/>
        </w:rPr>
        <w:t>9.6 污染物排放总量核算</w:t>
      </w:r>
      <w:r>
        <w:tab/>
      </w:r>
      <w:r>
        <w:fldChar w:fldCharType="begin"/>
      </w:r>
      <w:r>
        <w:instrText xml:space="preserve"> PAGEREF _Toc102039322 \h </w:instrText>
      </w:r>
      <w:r>
        <w:fldChar w:fldCharType="separate"/>
      </w:r>
      <w:r>
        <w:t>44</w:t>
      </w:r>
      <w:r>
        <w:fldChar w:fldCharType="end"/>
      </w:r>
      <w:r>
        <w:fldChar w:fldCharType="end"/>
      </w:r>
    </w:p>
    <w:p>
      <w:pPr>
        <w:pStyle w:val="37"/>
        <w:rPr>
          <w:sz w:val="21"/>
          <w:szCs w:val="22"/>
        </w:rPr>
      </w:pPr>
      <w:r>
        <w:fldChar w:fldCharType="begin"/>
      </w:r>
      <w:r>
        <w:instrText xml:space="preserve"> HYPERLINK \l "_Toc102039323" </w:instrText>
      </w:r>
      <w:r>
        <w:fldChar w:fldCharType="separate"/>
      </w:r>
      <w:r>
        <w:rPr>
          <w:rStyle w:val="55"/>
          <w:rFonts w:cs="Times New Roman"/>
        </w:rPr>
        <w:t>9.7环保设施处理效率监测结果</w:t>
      </w:r>
      <w:r>
        <w:tab/>
      </w:r>
      <w:r>
        <w:fldChar w:fldCharType="begin"/>
      </w:r>
      <w:r>
        <w:instrText xml:space="preserve"> PAGEREF _Toc102039323 \h </w:instrText>
      </w:r>
      <w:r>
        <w:fldChar w:fldCharType="separate"/>
      </w:r>
      <w:r>
        <w:t>44</w:t>
      </w:r>
      <w:r>
        <w:fldChar w:fldCharType="end"/>
      </w:r>
      <w:r>
        <w:fldChar w:fldCharType="end"/>
      </w:r>
    </w:p>
    <w:p>
      <w:pPr>
        <w:pStyle w:val="31"/>
        <w:rPr>
          <w:sz w:val="21"/>
          <w:szCs w:val="22"/>
        </w:rPr>
      </w:pPr>
      <w:r>
        <w:fldChar w:fldCharType="begin"/>
      </w:r>
      <w:r>
        <w:instrText xml:space="preserve"> HYPERLINK \l "_Toc102039324" </w:instrText>
      </w:r>
      <w:r>
        <w:fldChar w:fldCharType="separate"/>
      </w:r>
      <w:r>
        <w:rPr>
          <w:rStyle w:val="55"/>
          <w:rFonts w:cs="Times New Roman"/>
        </w:rPr>
        <w:t>10 验收监测结论</w:t>
      </w:r>
      <w:r>
        <w:tab/>
      </w:r>
      <w:r>
        <w:fldChar w:fldCharType="begin"/>
      </w:r>
      <w:r>
        <w:instrText xml:space="preserve"> PAGEREF _Toc102039324 \h </w:instrText>
      </w:r>
      <w:r>
        <w:fldChar w:fldCharType="separate"/>
      </w:r>
      <w:r>
        <w:t>46</w:t>
      </w:r>
      <w:r>
        <w:fldChar w:fldCharType="end"/>
      </w:r>
      <w:r>
        <w:fldChar w:fldCharType="end"/>
      </w:r>
    </w:p>
    <w:p>
      <w:pPr>
        <w:pStyle w:val="37"/>
        <w:rPr>
          <w:sz w:val="21"/>
          <w:szCs w:val="22"/>
        </w:rPr>
      </w:pPr>
      <w:r>
        <w:fldChar w:fldCharType="begin"/>
      </w:r>
      <w:r>
        <w:instrText xml:space="preserve"> HYPERLINK \l "_Toc102039325" </w:instrText>
      </w:r>
      <w:r>
        <w:fldChar w:fldCharType="separate"/>
      </w:r>
      <w:r>
        <w:rPr>
          <w:rStyle w:val="55"/>
          <w:rFonts w:cs="Times New Roman"/>
        </w:rPr>
        <w:t>10.1环保设施处理效率监测结果</w:t>
      </w:r>
      <w:r>
        <w:tab/>
      </w:r>
      <w:r>
        <w:fldChar w:fldCharType="begin"/>
      </w:r>
      <w:r>
        <w:instrText xml:space="preserve"> PAGEREF _Toc102039325 \h </w:instrText>
      </w:r>
      <w:r>
        <w:fldChar w:fldCharType="separate"/>
      </w:r>
      <w:r>
        <w:t>46</w:t>
      </w:r>
      <w:r>
        <w:fldChar w:fldCharType="end"/>
      </w:r>
      <w:r>
        <w:fldChar w:fldCharType="end"/>
      </w:r>
    </w:p>
    <w:p>
      <w:pPr>
        <w:pStyle w:val="37"/>
        <w:rPr>
          <w:sz w:val="21"/>
          <w:szCs w:val="22"/>
        </w:rPr>
      </w:pPr>
      <w:r>
        <w:fldChar w:fldCharType="begin"/>
      </w:r>
      <w:r>
        <w:instrText xml:space="preserve"> HYPERLINK \l "_Toc102039326" </w:instrText>
      </w:r>
      <w:r>
        <w:fldChar w:fldCharType="separate"/>
      </w:r>
      <w:r>
        <w:rPr>
          <w:rStyle w:val="55"/>
          <w:rFonts w:cs="Times New Roman"/>
        </w:rPr>
        <w:t>10.2污染物达标排放情况</w:t>
      </w:r>
      <w:r>
        <w:tab/>
      </w:r>
      <w:r>
        <w:fldChar w:fldCharType="begin"/>
      </w:r>
      <w:r>
        <w:instrText xml:space="preserve"> PAGEREF _Toc102039326 \h </w:instrText>
      </w:r>
      <w:r>
        <w:fldChar w:fldCharType="separate"/>
      </w:r>
      <w:r>
        <w:t>46</w:t>
      </w:r>
      <w:r>
        <w:fldChar w:fldCharType="end"/>
      </w:r>
      <w:r>
        <w:fldChar w:fldCharType="end"/>
      </w:r>
    </w:p>
    <w:p>
      <w:pPr>
        <w:pStyle w:val="37"/>
        <w:rPr>
          <w:sz w:val="21"/>
          <w:szCs w:val="22"/>
        </w:rPr>
      </w:pPr>
      <w:r>
        <w:fldChar w:fldCharType="begin"/>
      </w:r>
      <w:r>
        <w:instrText xml:space="preserve"> HYPERLINK \l "_Toc102039327" </w:instrText>
      </w:r>
      <w:r>
        <w:fldChar w:fldCharType="separate"/>
      </w:r>
      <w:r>
        <w:rPr>
          <w:rStyle w:val="55"/>
          <w:rFonts w:cs="Times New Roman"/>
        </w:rPr>
        <w:t>10.3综合结论</w:t>
      </w:r>
      <w:r>
        <w:tab/>
      </w:r>
      <w:r>
        <w:fldChar w:fldCharType="begin"/>
      </w:r>
      <w:r>
        <w:instrText xml:space="preserve"> PAGEREF _Toc102039327 \h </w:instrText>
      </w:r>
      <w:r>
        <w:fldChar w:fldCharType="separate"/>
      </w:r>
      <w:r>
        <w:t>47</w:t>
      </w:r>
      <w:r>
        <w:fldChar w:fldCharType="end"/>
      </w:r>
      <w:r>
        <w:fldChar w:fldCharType="end"/>
      </w:r>
    </w:p>
    <w:p>
      <w:pPr>
        <w:pStyle w:val="37"/>
        <w:rPr>
          <w:sz w:val="21"/>
          <w:szCs w:val="22"/>
        </w:rPr>
      </w:pPr>
      <w:r>
        <w:fldChar w:fldCharType="begin"/>
      </w:r>
      <w:r>
        <w:instrText xml:space="preserve"> HYPERLINK \l "_Toc102039328" </w:instrText>
      </w:r>
      <w:r>
        <w:fldChar w:fldCharType="separate"/>
      </w:r>
      <w:r>
        <w:rPr>
          <w:rStyle w:val="55"/>
          <w:rFonts w:cs="Times New Roman"/>
        </w:rPr>
        <w:t>10.4建议</w:t>
      </w:r>
      <w:r>
        <w:tab/>
      </w:r>
      <w:r>
        <w:fldChar w:fldCharType="begin"/>
      </w:r>
      <w:r>
        <w:instrText xml:space="preserve"> PAGEREF _Toc102039328 \h </w:instrText>
      </w:r>
      <w:r>
        <w:fldChar w:fldCharType="separate"/>
      </w:r>
      <w:r>
        <w:t>47</w:t>
      </w:r>
      <w:r>
        <w:fldChar w:fldCharType="end"/>
      </w:r>
      <w:r>
        <w:fldChar w:fldCharType="end"/>
      </w:r>
    </w:p>
    <w:p>
      <w:pPr>
        <w:pStyle w:val="31"/>
        <w:rPr>
          <w:sz w:val="21"/>
          <w:szCs w:val="22"/>
        </w:rPr>
      </w:pPr>
      <w:r>
        <w:fldChar w:fldCharType="begin"/>
      </w:r>
      <w:r>
        <w:instrText xml:space="preserve"> HYPERLINK \l "_Toc102039329" </w:instrText>
      </w:r>
      <w:r>
        <w:fldChar w:fldCharType="separate"/>
      </w:r>
      <w:r>
        <w:rPr>
          <w:rStyle w:val="55"/>
          <w:rFonts w:cs="Times New Roman"/>
        </w:rPr>
        <w:t>11 建设项目环境保护“三同时”竣工验收登记表</w:t>
      </w:r>
      <w:r>
        <w:tab/>
      </w:r>
      <w:r>
        <w:fldChar w:fldCharType="begin"/>
      </w:r>
      <w:r>
        <w:instrText xml:space="preserve"> PAGEREF _Toc102039329 \h </w:instrText>
      </w:r>
      <w:r>
        <w:fldChar w:fldCharType="separate"/>
      </w:r>
      <w:r>
        <w:t>48</w:t>
      </w:r>
      <w:r>
        <w:fldChar w:fldCharType="end"/>
      </w:r>
      <w:r>
        <w:fldChar w:fldCharType="end"/>
      </w:r>
    </w:p>
    <w:p>
      <w:pPr>
        <w:pStyle w:val="31"/>
        <w:rPr>
          <w:sz w:val="21"/>
          <w:szCs w:val="22"/>
        </w:rPr>
      </w:pPr>
      <w:r>
        <w:fldChar w:fldCharType="begin"/>
      </w:r>
      <w:r>
        <w:instrText xml:space="preserve"> HYPERLINK \l "_Toc102039330" </w:instrText>
      </w:r>
      <w:r>
        <w:fldChar w:fldCharType="separate"/>
      </w:r>
      <w:r>
        <w:rPr>
          <w:rStyle w:val="55"/>
          <w:rFonts w:cs="Times New Roman"/>
        </w:rPr>
        <w:t>12 附图及附件</w:t>
      </w:r>
      <w:r>
        <w:tab/>
      </w:r>
      <w:r>
        <w:fldChar w:fldCharType="begin"/>
      </w:r>
      <w:r>
        <w:instrText xml:space="preserve"> PAGEREF _Toc102039330 \h </w:instrText>
      </w:r>
      <w:r>
        <w:fldChar w:fldCharType="separate"/>
      </w:r>
      <w:r>
        <w:t>50</w:t>
      </w:r>
      <w:r>
        <w:fldChar w:fldCharType="end"/>
      </w:r>
      <w:r>
        <w:fldChar w:fldCharType="end"/>
      </w:r>
    </w:p>
    <w:p>
      <w:pPr>
        <w:pStyle w:val="31"/>
        <w:rPr>
          <w:rFonts w:ascii="Times New Roman" w:hAnsi="Times New Roman" w:cs="Times New Roman"/>
          <w:sz w:val="30"/>
          <w:szCs w:val="30"/>
        </w:rPr>
      </w:pPr>
      <w:r>
        <w:rPr>
          <w:rFonts w:ascii="Times New Roman" w:hAnsi="Times New Roman" w:cs="Times New Roman"/>
          <w:szCs w:val="30"/>
        </w:rPr>
        <w:fldChar w:fldCharType="end"/>
      </w:r>
    </w:p>
    <w:p>
      <w:pPr>
        <w:spacing w:line="240" w:lineRule="atLeast"/>
        <w:rPr>
          <w:rFonts w:ascii="Times New Roman" w:hAnsi="Times New Roman" w:cs="Times New Roman"/>
          <w:sz w:val="28"/>
          <w:szCs w:val="28"/>
        </w:rPr>
        <w:sectPr>
          <w:headerReference r:id="rId3" w:type="default"/>
          <w:pgSz w:w="11906" w:h="16838"/>
          <w:pgMar w:top="1440" w:right="1800" w:bottom="1440" w:left="1800" w:header="851" w:footer="992" w:gutter="0"/>
          <w:pgNumType w:fmt="numberInDash" w:start="1"/>
          <w:cols w:space="720" w:num="1"/>
          <w:docGrid w:type="lines" w:linePitch="312" w:charSpace="0"/>
        </w:sectPr>
      </w:pPr>
    </w:p>
    <w:p>
      <w:pPr>
        <w:pStyle w:val="2"/>
        <w:rPr>
          <w:rFonts w:cs="Times New Roman"/>
        </w:rPr>
      </w:pPr>
      <w:bookmarkStart w:id="0" w:name="_Toc497987602"/>
      <w:bookmarkStart w:id="1" w:name="_Toc17907"/>
      <w:bookmarkStart w:id="2" w:name="_Toc497925992"/>
      <w:bookmarkStart w:id="3" w:name="_Toc102039285"/>
      <w:bookmarkStart w:id="4" w:name="_Toc6728"/>
      <w:bookmarkStart w:id="5" w:name="_Toc497987764"/>
      <w:bookmarkStart w:id="6" w:name="_Toc497988045"/>
      <w:r>
        <w:rPr>
          <w:rFonts w:cs="Times New Roman"/>
        </w:rPr>
        <w:t xml:space="preserve">1 </w:t>
      </w:r>
      <w:bookmarkStart w:id="7" w:name="_Hlk63358319"/>
      <w:r>
        <w:rPr>
          <w:rFonts w:cs="Times New Roman"/>
        </w:rPr>
        <w:t>验收项目概况</w:t>
      </w:r>
      <w:bookmarkEnd w:id="0"/>
      <w:bookmarkEnd w:id="1"/>
      <w:bookmarkEnd w:id="2"/>
      <w:bookmarkEnd w:id="3"/>
      <w:bookmarkEnd w:id="4"/>
      <w:bookmarkEnd w:id="5"/>
      <w:bookmarkEnd w:id="6"/>
    </w:p>
    <w:p>
      <w:pPr>
        <w:snapToGrid w:val="0"/>
        <w:spacing w:line="360" w:lineRule="auto"/>
        <w:ind w:firstLine="480" w:firstLineChars="200"/>
        <w:rPr>
          <w:rFonts w:ascii="Times New Roman" w:hAnsi="Times New Roman" w:eastAsia="宋体" w:cs="Times New Roman"/>
        </w:rPr>
      </w:pPr>
      <w:bookmarkStart w:id="8" w:name="_Hlk101705452"/>
      <w:r>
        <w:rPr>
          <w:rFonts w:ascii="Times New Roman" w:hAnsi="Times New Roman" w:eastAsia="宋体" w:cs="Times New Roman"/>
        </w:rPr>
        <w:t>畜牧业作为我市农业和农村经济的重要产业，是建设现代农业和社会主义新农村的重要内容，也是国民经济和社会发展的基础产业。生猪养殖业是畜牧业的发展重点之一。</w:t>
      </w:r>
    </w:p>
    <w:p>
      <w:pPr>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2019年受非洲猪瘟影响，生猪供应产能严重不足，导致猪肉价格猛烈上涨，为保障民生需求，稳定猪肉市场价格，2019年12月4日农业农村部印发了《加快生猪生产恢复发展三年行动方案》，要求2020年年底前产能基本恢复到接近常年的水平，2021年恢复正常。</w:t>
      </w:r>
    </w:p>
    <w:p>
      <w:pPr>
        <w:snapToGrid w:val="0"/>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合川区尹发家庭农场（以下简称“建设单位”）成立于2020年5月，主要经营范围包括种牲畜饲养、饲料生产、畜牧渔业饲料销售；牲畜销售、水果种植和新鲜水果零售等。为消除新冠肺炎疫情带来的不良影响，缓解由非洲猪瘟造成的生猪供给不足，保障</w:t>
      </w:r>
      <w:r>
        <w:rPr>
          <w:rFonts w:hint="eastAsia" w:ascii="Times New Roman" w:hAnsi="Times New Roman" w:eastAsia="宋体" w:cs="Times New Roman"/>
          <w:color w:val="000000"/>
        </w:rPr>
        <w:t>区</w:t>
      </w:r>
      <w:r>
        <w:rPr>
          <w:rFonts w:ascii="Times New Roman" w:hAnsi="Times New Roman" w:eastAsia="宋体" w:cs="Times New Roman"/>
          <w:color w:val="000000"/>
        </w:rPr>
        <w:t>内商品猪供应，建设单位投资建设</w:t>
      </w:r>
      <w:r>
        <w:rPr>
          <w:rFonts w:hint="eastAsia" w:ascii="Times New Roman" w:hAnsi="Times New Roman" w:eastAsia="宋体" w:cs="Times New Roman"/>
          <w:color w:val="000000"/>
        </w:rPr>
        <w:t>了</w:t>
      </w:r>
      <w:r>
        <w:rPr>
          <w:rFonts w:ascii="Times New Roman" w:hAnsi="Times New Roman" w:eastAsia="宋体" w:cs="Times New Roman"/>
          <w:color w:val="000000"/>
        </w:rPr>
        <w:t>“</w:t>
      </w:r>
      <w:bookmarkStart w:id="9" w:name="_Hlk52111021"/>
      <w:r>
        <w:rPr>
          <w:rFonts w:ascii="Times New Roman" w:hAnsi="Times New Roman" w:eastAsia="宋体" w:cs="Times New Roman"/>
          <w:color w:val="000000"/>
        </w:rPr>
        <w:t>巴渝土杂猪养殖项目</w:t>
      </w:r>
      <w:bookmarkEnd w:id="9"/>
      <w:r>
        <w:rPr>
          <w:rFonts w:ascii="Times New Roman" w:hAnsi="Times New Roman" w:eastAsia="宋体" w:cs="Times New Roman"/>
          <w:color w:val="000000"/>
        </w:rPr>
        <w:t>”（以下简称“拟</w:t>
      </w:r>
      <w:r>
        <w:rPr>
          <w:rFonts w:hint="eastAsia" w:ascii="Times New Roman" w:hAnsi="Times New Roman" w:eastAsia="宋体" w:cs="Times New Roman"/>
          <w:color w:val="000000"/>
        </w:rPr>
        <w:t>验收</w:t>
      </w:r>
      <w:r>
        <w:rPr>
          <w:rFonts w:ascii="Times New Roman" w:hAnsi="Times New Roman" w:eastAsia="宋体" w:cs="Times New Roman"/>
          <w:color w:val="000000"/>
        </w:rPr>
        <w:t>项目”）。</w:t>
      </w:r>
    </w:p>
    <w:p>
      <w:pPr>
        <w:snapToGrid w:val="0"/>
        <w:spacing w:line="360" w:lineRule="auto"/>
        <w:ind w:firstLine="480" w:firstLineChars="200"/>
        <w:rPr>
          <w:rFonts w:ascii="Times New Roman" w:hAnsi="Times New Roman" w:eastAsia="宋体" w:cs="Times New Roman"/>
          <w:color w:val="0000FF"/>
        </w:rPr>
      </w:pPr>
      <w:r>
        <w:rPr>
          <w:rFonts w:ascii="Times New Roman" w:hAnsi="Times New Roman" w:eastAsia="宋体" w:cs="Times New Roman"/>
          <w:color w:val="0000FF"/>
        </w:rPr>
        <w:t>拟</w:t>
      </w:r>
      <w:r>
        <w:rPr>
          <w:rFonts w:hint="eastAsia" w:ascii="Times New Roman" w:hAnsi="Times New Roman" w:eastAsia="宋体" w:cs="Times New Roman"/>
          <w:color w:val="0000FF"/>
        </w:rPr>
        <w:t>验收</w:t>
      </w:r>
      <w:r>
        <w:rPr>
          <w:rFonts w:ascii="Times New Roman" w:hAnsi="Times New Roman" w:eastAsia="宋体" w:cs="Times New Roman"/>
          <w:color w:val="0000FF"/>
        </w:rPr>
        <w:t>项目位于重庆市合川区钱塘镇凤寺村5社，</w:t>
      </w:r>
      <w:r>
        <w:rPr>
          <w:rFonts w:hint="eastAsia" w:ascii="Times New Roman" w:hAnsi="Times New Roman" w:eastAsia="宋体" w:cs="Times New Roman"/>
          <w:color w:val="0000FF"/>
        </w:rPr>
        <w:t>于</w:t>
      </w:r>
      <w:r>
        <w:rPr>
          <w:rFonts w:ascii="Times New Roman" w:hAnsi="Times New Roman" w:eastAsia="宋体" w:cs="Times New Roman"/>
          <w:color w:val="0000FF"/>
        </w:rPr>
        <w:t>2020年6月16日办理了建设项目环境影响登记表</w:t>
      </w:r>
      <w:r>
        <w:rPr>
          <w:rFonts w:hint="eastAsia" w:ascii="Times New Roman" w:hAnsi="Times New Roman" w:eastAsia="宋体" w:cs="Times New Roman"/>
          <w:color w:val="0000FF"/>
        </w:rPr>
        <w:t>，根据其环评登记表项目建设内容及规模为：</w:t>
      </w:r>
      <w:r>
        <w:rPr>
          <w:rFonts w:ascii="Times New Roman" w:hAnsi="Times New Roman" w:eastAsia="宋体" w:cs="Times New Roman"/>
          <w:color w:val="0000FF"/>
        </w:rPr>
        <w:t>项目占地面积4840</w:t>
      </w:r>
      <w:r>
        <w:rPr>
          <w:rFonts w:hint="eastAsia" w:ascii="Times New Roman" w:hAnsi="Times New Roman" w:eastAsia="宋体" w:cs="Times New Roman"/>
          <w:color w:val="0000FF"/>
        </w:rPr>
        <w:t>m</w:t>
      </w:r>
      <w:r>
        <w:rPr>
          <w:rFonts w:hint="eastAsia" w:ascii="Times New Roman" w:hAnsi="Times New Roman" w:eastAsia="宋体" w:cs="Times New Roman"/>
          <w:color w:val="0000FF"/>
          <w:vertAlign w:val="superscript"/>
        </w:rPr>
        <w:t>2</w:t>
      </w:r>
      <w:r>
        <w:rPr>
          <w:rFonts w:ascii="Times New Roman" w:hAnsi="Times New Roman" w:eastAsia="宋体" w:cs="Times New Roman"/>
          <w:color w:val="0000FF"/>
        </w:rPr>
        <w:t>，建设育肥猪圈舍2860</w:t>
      </w:r>
      <w:r>
        <w:rPr>
          <w:rFonts w:hint="eastAsia" w:ascii="Times New Roman" w:hAnsi="Times New Roman" w:eastAsia="宋体" w:cs="Times New Roman"/>
          <w:color w:val="0000FF"/>
        </w:rPr>
        <w:t>m</w:t>
      </w:r>
      <w:r>
        <w:rPr>
          <w:rFonts w:hint="eastAsia" w:ascii="Times New Roman" w:hAnsi="Times New Roman" w:eastAsia="宋体" w:cs="Times New Roman"/>
          <w:color w:val="0000FF"/>
          <w:vertAlign w:val="superscript"/>
        </w:rPr>
        <w:t>2</w:t>
      </w:r>
      <w:r>
        <w:rPr>
          <w:rFonts w:ascii="Times New Roman" w:hAnsi="Times New Roman" w:eastAsia="宋体" w:cs="Times New Roman"/>
          <w:color w:val="0000FF"/>
        </w:rPr>
        <w:t>，母猪圈1660</w:t>
      </w:r>
      <w:r>
        <w:rPr>
          <w:rFonts w:hint="eastAsia" w:ascii="Times New Roman" w:hAnsi="Times New Roman" w:eastAsia="宋体" w:cs="Times New Roman"/>
          <w:color w:val="0000FF"/>
        </w:rPr>
        <w:t>m</w:t>
      </w:r>
      <w:r>
        <w:rPr>
          <w:rFonts w:hint="eastAsia" w:ascii="Times New Roman" w:hAnsi="Times New Roman" w:eastAsia="宋体" w:cs="Times New Roman"/>
          <w:color w:val="0000FF"/>
          <w:vertAlign w:val="superscript"/>
        </w:rPr>
        <w:t>2</w:t>
      </w:r>
      <w:r>
        <w:rPr>
          <w:rFonts w:ascii="Times New Roman" w:hAnsi="Times New Roman" w:eastAsia="宋体" w:cs="Times New Roman"/>
          <w:color w:val="0000FF"/>
        </w:rPr>
        <w:t>，饲料间及辅助用房</w:t>
      </w:r>
      <w:r>
        <w:rPr>
          <w:rFonts w:hint="eastAsia" w:ascii="Times New Roman" w:hAnsi="Times New Roman" w:eastAsia="宋体" w:cs="Times New Roman"/>
          <w:color w:val="0000FF"/>
        </w:rPr>
        <w:t>320m</w:t>
      </w:r>
      <w:r>
        <w:rPr>
          <w:rFonts w:hint="eastAsia" w:ascii="Times New Roman" w:hAnsi="Times New Roman" w:eastAsia="宋体" w:cs="Times New Roman"/>
          <w:color w:val="0000FF"/>
          <w:vertAlign w:val="superscript"/>
        </w:rPr>
        <w:t>2</w:t>
      </w:r>
      <w:r>
        <w:rPr>
          <w:rFonts w:ascii="Times New Roman" w:hAnsi="Times New Roman" w:eastAsia="宋体" w:cs="Times New Roman"/>
          <w:color w:val="0000FF"/>
        </w:rPr>
        <w:t>，存栏母猪208头，年出栏</w:t>
      </w:r>
      <w:r>
        <w:rPr>
          <w:rFonts w:hint="eastAsia" w:ascii="Times New Roman" w:hAnsi="Times New Roman" w:eastAsia="宋体" w:cs="Times New Roman"/>
          <w:color w:val="0000FF"/>
        </w:rPr>
        <w:t>商品</w:t>
      </w:r>
      <w:r>
        <w:rPr>
          <w:rFonts w:ascii="Times New Roman" w:hAnsi="Times New Roman" w:eastAsia="宋体" w:cs="Times New Roman"/>
          <w:color w:val="0000FF"/>
        </w:rPr>
        <w:t>猪4000头</w:t>
      </w:r>
      <w:r>
        <w:rPr>
          <w:rFonts w:hint="eastAsia" w:ascii="Times New Roman" w:hAnsi="Times New Roman" w:eastAsia="宋体" w:cs="Times New Roman"/>
          <w:color w:val="0000FF"/>
        </w:rPr>
        <w:t>。企业项目于2020年10月开工建设，因公司的发展和市场需求调整，项目在建设过程中建设内容发生调整，对比原环评登记表内容，项目业主扩大了圈舍面积，总建筑面积增加至8000m</w:t>
      </w:r>
      <w:r>
        <w:rPr>
          <w:rFonts w:hint="eastAsia" w:ascii="Times New Roman" w:hAnsi="Times New Roman" w:eastAsia="宋体" w:cs="Times New Roman"/>
          <w:color w:val="0000FF"/>
          <w:vertAlign w:val="superscript"/>
        </w:rPr>
        <w:t>2</w:t>
      </w:r>
      <w:r>
        <w:rPr>
          <w:rFonts w:hint="eastAsia" w:ascii="Times New Roman" w:hAnsi="Times New Roman" w:eastAsia="宋体" w:cs="Times New Roman"/>
          <w:color w:val="0000FF"/>
        </w:rPr>
        <w:t>，养殖规模调整为种母猪860头，年出栏商品猪12000头。</w:t>
      </w:r>
    </w:p>
    <w:p>
      <w:pPr>
        <w:snapToGrid w:val="0"/>
        <w:spacing w:line="360" w:lineRule="auto"/>
        <w:ind w:firstLine="480" w:firstLineChars="200"/>
        <w:rPr>
          <w:rFonts w:ascii="Times New Roman" w:hAnsi="Times New Roman" w:eastAsia="宋体" w:cs="Times New Roman"/>
          <w:color w:val="0000FF"/>
        </w:rPr>
      </w:pPr>
      <w:r>
        <w:rPr>
          <w:rFonts w:hint="eastAsia" w:ascii="Times New Roman" w:hAnsi="Times New Roman" w:eastAsia="宋体" w:cs="Times New Roman"/>
          <w:color w:val="0000FF"/>
        </w:rPr>
        <w:t>2</w:t>
      </w:r>
      <w:r>
        <w:rPr>
          <w:rFonts w:ascii="Times New Roman" w:hAnsi="Times New Roman" w:eastAsia="宋体" w:cs="Times New Roman"/>
          <w:color w:val="0000FF"/>
        </w:rPr>
        <w:t>021</w:t>
      </w:r>
      <w:r>
        <w:rPr>
          <w:rFonts w:hint="eastAsia" w:ascii="Times New Roman" w:hAnsi="Times New Roman" w:eastAsia="宋体" w:cs="Times New Roman"/>
          <w:color w:val="0000FF"/>
        </w:rPr>
        <w:t>年1</w:t>
      </w:r>
      <w:r>
        <w:rPr>
          <w:rFonts w:ascii="Times New Roman" w:hAnsi="Times New Roman" w:eastAsia="宋体" w:cs="Times New Roman"/>
          <w:color w:val="0000FF"/>
        </w:rPr>
        <w:t>1</w:t>
      </w:r>
      <w:r>
        <w:rPr>
          <w:rFonts w:hint="eastAsia" w:ascii="Times New Roman" w:hAnsi="Times New Roman" w:eastAsia="宋体" w:cs="Times New Roman"/>
          <w:color w:val="0000FF"/>
        </w:rPr>
        <w:t>月，企业委托重庆华地资环科技有限公司编制完成了《合川区尹发家庭农场巴渝土杂猪养殖项目环境影响报告书》，并取得了重庆市合川区生态环境局下发的《重庆市建设项目环境影响评价文件批准书》（渝（合）环准〔2</w:t>
      </w:r>
      <w:r>
        <w:rPr>
          <w:rFonts w:ascii="Times New Roman" w:hAnsi="Times New Roman" w:eastAsia="宋体" w:cs="Times New Roman"/>
          <w:color w:val="0000FF"/>
        </w:rPr>
        <w:t>021</w:t>
      </w:r>
      <w:r>
        <w:rPr>
          <w:rFonts w:hint="eastAsia" w:ascii="Times New Roman" w:hAnsi="Times New Roman" w:eastAsia="宋体" w:cs="Times New Roman"/>
          <w:color w:val="0000FF"/>
        </w:rPr>
        <w:t>〕1</w:t>
      </w:r>
      <w:r>
        <w:rPr>
          <w:rFonts w:ascii="Times New Roman" w:hAnsi="Times New Roman" w:eastAsia="宋体" w:cs="Times New Roman"/>
          <w:color w:val="0000FF"/>
        </w:rPr>
        <w:t>14</w:t>
      </w:r>
      <w:r>
        <w:rPr>
          <w:rFonts w:hint="eastAsia" w:ascii="Times New Roman" w:hAnsi="Times New Roman" w:eastAsia="宋体" w:cs="Times New Roman"/>
          <w:color w:val="0000FF"/>
        </w:rPr>
        <w:t>号）；2</w:t>
      </w:r>
      <w:r>
        <w:rPr>
          <w:rFonts w:ascii="Times New Roman" w:hAnsi="Times New Roman" w:eastAsia="宋体" w:cs="Times New Roman"/>
          <w:color w:val="0000FF"/>
        </w:rPr>
        <w:t>022</w:t>
      </w:r>
      <w:r>
        <w:rPr>
          <w:rFonts w:hint="eastAsia" w:ascii="Times New Roman" w:hAnsi="Times New Roman" w:eastAsia="宋体" w:cs="Times New Roman"/>
          <w:color w:val="0000FF"/>
        </w:rPr>
        <w:t>年3月1</w:t>
      </w:r>
      <w:r>
        <w:rPr>
          <w:rFonts w:ascii="Times New Roman" w:hAnsi="Times New Roman" w:eastAsia="宋体" w:cs="Times New Roman"/>
          <w:color w:val="0000FF"/>
        </w:rPr>
        <w:t>6</w:t>
      </w:r>
      <w:r>
        <w:rPr>
          <w:rFonts w:hint="eastAsia" w:ascii="Times New Roman" w:hAnsi="Times New Roman" w:eastAsia="宋体" w:cs="Times New Roman"/>
          <w:color w:val="0000FF"/>
        </w:rPr>
        <w:t>日，企业取得了《固定污染源排污登记回执》（登记编号：</w:t>
      </w:r>
      <w:r>
        <w:rPr>
          <w:rFonts w:ascii="Times New Roman" w:hAnsi="Times New Roman" w:eastAsia="宋体" w:cs="Times New Roman"/>
          <w:color w:val="0000FF"/>
        </w:rPr>
        <w:t>92500117MA60WE9U3A001Z</w:t>
      </w:r>
      <w:r>
        <w:rPr>
          <w:rFonts w:hint="eastAsia" w:ascii="Times New Roman" w:hAnsi="Times New Roman" w:eastAsia="宋体" w:cs="Times New Roman"/>
          <w:color w:val="0000FF"/>
        </w:rPr>
        <w:t>）。</w:t>
      </w:r>
    </w:p>
    <w:bookmarkEnd w:id="7"/>
    <w:bookmarkEnd w:id="8"/>
    <w:p>
      <w:pPr>
        <w:adjustRightInd w:val="0"/>
        <w:snapToGrid w:val="0"/>
        <w:spacing w:line="360" w:lineRule="auto"/>
        <w:ind w:firstLine="482" w:firstLineChars="200"/>
        <w:rPr>
          <w:rFonts w:ascii="Times New Roman" w:hAnsi="Times New Roman" w:eastAsia="宋体" w:cs="Times New Roman"/>
          <w:b/>
          <w:bCs/>
          <w:color w:val="0000FF"/>
          <w:szCs w:val="20"/>
        </w:rPr>
      </w:pPr>
      <w:r>
        <w:rPr>
          <w:rFonts w:ascii="Times New Roman" w:hAnsi="Times New Roman" w:eastAsia="宋体" w:cs="Times New Roman"/>
          <w:b/>
          <w:bCs/>
          <w:color w:val="0000FF"/>
          <w:szCs w:val="20"/>
        </w:rPr>
        <w:t>本次</w:t>
      </w:r>
      <w:r>
        <w:rPr>
          <w:rFonts w:hint="eastAsia" w:ascii="Times New Roman" w:hAnsi="Times New Roman" w:eastAsia="宋体" w:cs="Times New Roman"/>
          <w:b/>
          <w:bCs/>
          <w:color w:val="0000FF"/>
          <w:szCs w:val="20"/>
        </w:rPr>
        <w:t>验收</w:t>
      </w:r>
      <w:r>
        <w:rPr>
          <w:rFonts w:ascii="Times New Roman" w:hAnsi="Times New Roman" w:eastAsia="宋体" w:cs="Times New Roman"/>
          <w:b/>
          <w:bCs/>
          <w:color w:val="0000FF"/>
          <w:szCs w:val="20"/>
        </w:rPr>
        <w:t>项目环评主要建设内容及规模为：</w:t>
      </w:r>
      <w:bookmarkStart w:id="10" w:name="_Hlk101512767"/>
    </w:p>
    <w:p>
      <w:pPr>
        <w:spacing w:line="360" w:lineRule="auto"/>
        <w:ind w:firstLine="480" w:firstLineChars="200"/>
        <w:rPr>
          <w:rFonts w:ascii="Times New Roman" w:hAnsi="Times New Roman" w:eastAsia="宋体" w:cs="Times New Roman"/>
          <w:color w:val="0000FF"/>
          <w:kern w:val="0"/>
        </w:rPr>
      </w:pPr>
      <w:bookmarkStart w:id="11" w:name="_Hlk101705488"/>
      <w:r>
        <w:rPr>
          <w:rFonts w:ascii="Times New Roman" w:hAnsi="Times New Roman" w:cs="Times New Roman"/>
          <w:color w:val="0000FF"/>
        </w:rPr>
        <w:t>项目</w:t>
      </w:r>
      <w:r>
        <w:rPr>
          <w:rFonts w:hint="eastAsia" w:ascii="Times New Roman" w:hAnsi="Times New Roman" w:cs="Times New Roman"/>
          <w:color w:val="0000FF"/>
        </w:rPr>
        <w:t>位于重庆市合川区钱塘镇凤寺村5社，</w:t>
      </w:r>
      <w:r>
        <w:rPr>
          <w:rFonts w:ascii="Times New Roman" w:hAnsi="Times New Roman" w:eastAsia="宋体" w:cs="Times New Roman"/>
          <w:color w:val="0000FF"/>
          <w:kern w:val="0"/>
        </w:rPr>
        <w:t>总占地面积</w:t>
      </w:r>
      <w:r>
        <w:rPr>
          <w:rFonts w:hint="eastAsia" w:ascii="Times New Roman" w:hAnsi="Times New Roman" w:eastAsia="宋体" w:cs="Times New Roman"/>
          <w:color w:val="0000FF"/>
          <w:kern w:val="0"/>
        </w:rPr>
        <w:t>8000m</w:t>
      </w:r>
      <w:r>
        <w:rPr>
          <w:rFonts w:hint="eastAsia" w:ascii="Times New Roman" w:hAnsi="Times New Roman" w:eastAsia="宋体" w:cs="Times New Roman"/>
          <w:color w:val="0000FF"/>
          <w:kern w:val="0"/>
          <w:vertAlign w:val="superscript"/>
        </w:rPr>
        <w:t>2</w:t>
      </w:r>
      <w:r>
        <w:rPr>
          <w:rFonts w:ascii="Times New Roman" w:hAnsi="Times New Roman" w:eastAsia="宋体" w:cs="Times New Roman"/>
          <w:color w:val="0000FF"/>
          <w:kern w:val="0"/>
        </w:rPr>
        <w:t>，总建筑面积约</w:t>
      </w:r>
      <w:r>
        <w:rPr>
          <w:rFonts w:hint="eastAsia" w:ascii="Times New Roman" w:hAnsi="Times New Roman" w:eastAsia="宋体" w:cs="Times New Roman"/>
          <w:color w:val="0000FF"/>
        </w:rPr>
        <w:t>12210</w:t>
      </w:r>
      <w:r>
        <w:rPr>
          <w:rFonts w:ascii="Times New Roman" w:hAnsi="Times New Roman" w:eastAsia="宋体" w:cs="Times New Roman"/>
          <w:color w:val="0000FF"/>
          <w:kern w:val="0"/>
        </w:rPr>
        <w:t>m</w:t>
      </w:r>
      <w:r>
        <w:rPr>
          <w:rFonts w:ascii="Times New Roman" w:hAnsi="Times New Roman" w:eastAsia="宋体" w:cs="Times New Roman"/>
          <w:color w:val="0000FF"/>
          <w:kern w:val="0"/>
          <w:vertAlign w:val="superscript"/>
        </w:rPr>
        <w:t>2</w:t>
      </w:r>
      <w:r>
        <w:rPr>
          <w:rFonts w:ascii="Times New Roman" w:hAnsi="Times New Roman" w:eastAsia="宋体" w:cs="Times New Roman"/>
          <w:color w:val="0000FF"/>
          <w:kern w:val="0"/>
        </w:rPr>
        <w:t>。</w:t>
      </w:r>
      <w:r>
        <w:rPr>
          <w:rFonts w:ascii="Times New Roman" w:hAnsi="Times New Roman" w:eastAsia="宋体" w:cs="Times New Roman"/>
          <w:color w:val="0000FF"/>
          <w:kern w:val="0"/>
          <w:szCs w:val="22"/>
        </w:rPr>
        <w:t>由主体工程、辅助工程、公用工程和环保工程组成。主体工程为各养殖猪舍，包括母猪舍、</w:t>
      </w:r>
      <w:r>
        <w:rPr>
          <w:rFonts w:hint="eastAsia" w:ascii="Times New Roman" w:hAnsi="Times New Roman" w:eastAsia="宋体" w:cs="Times New Roman"/>
          <w:color w:val="0000FF"/>
          <w:kern w:val="0"/>
          <w:szCs w:val="22"/>
        </w:rPr>
        <w:t>养殖大楼（内设分娩舍</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保育舍</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育肥</w:t>
      </w:r>
      <w:r>
        <w:rPr>
          <w:rFonts w:ascii="Times New Roman" w:hAnsi="Times New Roman" w:eastAsia="宋体" w:cs="Times New Roman"/>
          <w:color w:val="0000FF"/>
          <w:kern w:val="0"/>
          <w:szCs w:val="22"/>
        </w:rPr>
        <w:t>舍</w:t>
      </w:r>
      <w:r>
        <w:rPr>
          <w:rFonts w:hint="eastAsia" w:ascii="Times New Roman" w:hAnsi="Times New Roman" w:eastAsia="宋体" w:cs="Times New Roman"/>
          <w:color w:val="0000FF"/>
          <w:kern w:val="0"/>
          <w:szCs w:val="22"/>
        </w:rPr>
        <w:t>）</w:t>
      </w:r>
      <w:r>
        <w:rPr>
          <w:rFonts w:ascii="Times New Roman" w:hAnsi="Times New Roman" w:eastAsia="宋体" w:cs="Times New Roman"/>
          <w:color w:val="0000FF"/>
          <w:kern w:val="0"/>
          <w:szCs w:val="22"/>
        </w:rPr>
        <w:t>等；辅助工程养殖区办公室</w:t>
      </w:r>
      <w:r>
        <w:rPr>
          <w:rFonts w:hint="eastAsia" w:ascii="Times New Roman" w:hAnsi="Times New Roman" w:eastAsia="宋体" w:cs="Times New Roman"/>
          <w:color w:val="0000FF"/>
          <w:kern w:val="0"/>
          <w:szCs w:val="22"/>
        </w:rPr>
        <w:t>、值班室、设备间</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检验检疫区</w:t>
      </w:r>
      <w:r>
        <w:rPr>
          <w:rFonts w:ascii="Times New Roman" w:hAnsi="Times New Roman" w:eastAsia="宋体" w:cs="Times New Roman"/>
          <w:color w:val="0000FF"/>
          <w:kern w:val="0"/>
          <w:szCs w:val="22"/>
        </w:rPr>
        <w:t>等；环保工程包括污水处理系统、废水还田系统、沼气净化系统等。</w:t>
      </w:r>
      <w:r>
        <w:rPr>
          <w:rFonts w:ascii="Times New Roman" w:hAnsi="Times New Roman" w:eastAsia="宋体" w:cs="Times New Roman"/>
          <w:color w:val="0000FF"/>
          <w:kern w:val="0"/>
        </w:rPr>
        <w:t>项目建成后常年存栏母猪860头，</w:t>
      </w:r>
      <w:r>
        <w:rPr>
          <w:rFonts w:hint="eastAsia" w:ascii="Times New Roman" w:hAnsi="Times New Roman" w:eastAsia="宋体" w:cs="Times New Roman"/>
          <w:color w:val="0000FF"/>
          <w:kern w:val="0"/>
        </w:rPr>
        <w:t>达产年繁育仔猪17079头/年，</w:t>
      </w:r>
      <w:r>
        <w:rPr>
          <w:rFonts w:ascii="Times New Roman" w:hAnsi="Times New Roman" w:eastAsia="宋体" w:cs="Times New Roman"/>
          <w:color w:val="0000FF"/>
          <w:kern w:val="0"/>
        </w:rPr>
        <w:t>其中</w:t>
      </w:r>
      <w:r>
        <w:rPr>
          <w:rFonts w:hint="eastAsia" w:ascii="Times New Roman" w:hAnsi="Times New Roman" w:eastAsia="宋体" w:cs="Times New Roman"/>
          <w:color w:val="0000FF"/>
          <w:kern w:val="0"/>
        </w:rPr>
        <w:t>3</w:t>
      </w:r>
      <w:r>
        <w:rPr>
          <w:rFonts w:ascii="Times New Roman" w:hAnsi="Times New Roman" w:eastAsia="宋体" w:cs="Times New Roman"/>
          <w:color w:val="0000FF"/>
          <w:kern w:val="0"/>
        </w:rPr>
        <w:t>0%仔猪外售，</w:t>
      </w:r>
      <w:r>
        <w:rPr>
          <w:rFonts w:hint="eastAsia" w:ascii="Times New Roman" w:hAnsi="Times New Roman" w:eastAsia="宋体" w:cs="Times New Roman"/>
          <w:color w:val="0000FF"/>
          <w:kern w:val="0"/>
        </w:rPr>
        <w:t>7</w:t>
      </w:r>
      <w:r>
        <w:rPr>
          <w:rFonts w:ascii="Times New Roman" w:hAnsi="Times New Roman" w:eastAsia="宋体" w:cs="Times New Roman"/>
          <w:color w:val="0000FF"/>
          <w:kern w:val="0"/>
        </w:rPr>
        <w:t>0%仔猪采取自繁自养模式，商品肉猪采取保育育肥一体化养殖模式，年出栏商品肉猪</w:t>
      </w:r>
      <w:r>
        <w:rPr>
          <w:rFonts w:hint="eastAsia" w:ascii="Times New Roman" w:hAnsi="Times New Roman" w:eastAsia="宋体" w:cs="Times New Roman"/>
          <w:color w:val="0000FF"/>
          <w:kern w:val="0"/>
        </w:rPr>
        <w:t>1.2</w:t>
      </w:r>
      <w:r>
        <w:rPr>
          <w:rFonts w:ascii="Times New Roman" w:hAnsi="Times New Roman" w:eastAsia="宋体" w:cs="Times New Roman"/>
          <w:color w:val="0000FF"/>
          <w:kern w:val="0"/>
        </w:rPr>
        <w:t>万头</w:t>
      </w:r>
      <w:r>
        <w:rPr>
          <w:rFonts w:hint="eastAsia" w:ascii="Times New Roman" w:hAnsi="Times New Roman" w:eastAsia="宋体" w:cs="Times New Roman"/>
          <w:color w:val="0000FF"/>
          <w:kern w:val="0"/>
        </w:rPr>
        <w:t>，出栏保育仔猪5124头。项目总投资约</w:t>
      </w:r>
      <w:r>
        <w:rPr>
          <w:rFonts w:ascii="Times New Roman" w:hAnsi="Times New Roman" w:eastAsia="宋体" w:cs="Times New Roman"/>
          <w:color w:val="0000FF"/>
          <w:kern w:val="0"/>
        </w:rPr>
        <w:t>2800</w:t>
      </w:r>
      <w:r>
        <w:rPr>
          <w:rFonts w:hint="eastAsia" w:ascii="Times New Roman" w:hAnsi="Times New Roman" w:eastAsia="宋体" w:cs="Times New Roman"/>
          <w:color w:val="0000FF"/>
          <w:kern w:val="0"/>
        </w:rPr>
        <w:t>万元，其中环保投资约</w:t>
      </w:r>
      <w:r>
        <w:rPr>
          <w:rFonts w:ascii="Times New Roman" w:hAnsi="Times New Roman" w:eastAsia="宋体" w:cs="Times New Roman"/>
          <w:color w:val="0000FF"/>
          <w:kern w:val="0"/>
        </w:rPr>
        <w:t>170</w:t>
      </w:r>
      <w:r>
        <w:rPr>
          <w:rFonts w:hint="eastAsia" w:ascii="Times New Roman" w:hAnsi="Times New Roman" w:eastAsia="宋体" w:cs="Times New Roman"/>
          <w:color w:val="0000FF"/>
          <w:kern w:val="0"/>
        </w:rPr>
        <w:t>万元。</w:t>
      </w:r>
    </w:p>
    <w:bookmarkEnd w:id="10"/>
    <w:bookmarkEnd w:id="11"/>
    <w:p>
      <w:pPr>
        <w:adjustRightInd w:val="0"/>
        <w:snapToGrid w:val="0"/>
        <w:spacing w:line="360" w:lineRule="auto"/>
        <w:ind w:firstLine="480" w:firstLineChars="200"/>
        <w:rPr>
          <w:rFonts w:ascii="Times New Roman" w:hAnsi="Times New Roman" w:eastAsia="宋体" w:cs="Times New Roman"/>
          <w:snapToGrid w:val="0"/>
          <w:color w:val="0000FF"/>
          <w:kern w:val="0"/>
        </w:rPr>
      </w:pPr>
      <w:r>
        <w:rPr>
          <w:rFonts w:ascii="Times New Roman" w:hAnsi="Times New Roman" w:eastAsia="宋体" w:cs="Times New Roman"/>
          <w:snapToGrid w:val="0"/>
          <w:color w:val="0000FF"/>
          <w:kern w:val="0"/>
        </w:rPr>
        <w:t>本项目</w:t>
      </w:r>
      <w:r>
        <w:rPr>
          <w:rFonts w:hint="eastAsia" w:ascii="Times New Roman" w:hAnsi="Times New Roman" w:eastAsia="宋体" w:cs="Times New Roman"/>
          <w:snapToGrid w:val="0"/>
          <w:color w:val="0000FF"/>
          <w:kern w:val="0"/>
        </w:rPr>
        <w:t>主体工程及配套的辅助工程、公用工程、环保工程已建设完成</w:t>
      </w:r>
      <w:r>
        <w:rPr>
          <w:rFonts w:ascii="Times New Roman" w:hAnsi="Times New Roman" w:eastAsia="宋体" w:cs="Times New Roman"/>
          <w:snapToGrid w:val="0"/>
          <w:color w:val="0000FF"/>
          <w:kern w:val="0"/>
        </w:rPr>
        <w:t>，</w:t>
      </w:r>
      <w:r>
        <w:rPr>
          <w:rFonts w:hint="eastAsia" w:ascii="Times New Roman" w:hAnsi="Times New Roman" w:eastAsia="宋体" w:cs="Times New Roman"/>
          <w:snapToGrid w:val="0"/>
          <w:color w:val="0000FF"/>
          <w:kern w:val="0"/>
        </w:rPr>
        <w:t>本次</w:t>
      </w:r>
      <w:r>
        <w:rPr>
          <w:rFonts w:ascii="Times New Roman" w:hAnsi="Times New Roman" w:eastAsia="宋体" w:cs="Times New Roman"/>
          <w:snapToGrid w:val="0"/>
          <w:color w:val="0000FF"/>
          <w:kern w:val="0"/>
        </w:rPr>
        <w:t>验收范围为项目</w:t>
      </w:r>
      <w:r>
        <w:rPr>
          <w:rFonts w:hint="eastAsia" w:ascii="Times New Roman" w:hAnsi="Times New Roman" w:eastAsia="宋体" w:cs="Times New Roman"/>
          <w:snapToGrid w:val="0"/>
          <w:color w:val="0000FF"/>
          <w:kern w:val="0"/>
        </w:rPr>
        <w:t>整体验收，以及相应的配套设施</w:t>
      </w:r>
      <w:r>
        <w:rPr>
          <w:rFonts w:ascii="Times New Roman" w:hAnsi="Times New Roman" w:eastAsia="宋体" w:cs="Times New Roman"/>
          <w:snapToGrid w:val="0"/>
          <w:color w:val="0000FF"/>
          <w:kern w:val="0"/>
        </w:rPr>
        <w:t>。</w:t>
      </w:r>
    </w:p>
    <w:p>
      <w:pPr>
        <w:adjustRightInd w:val="0"/>
        <w:snapToGrid w:val="0"/>
        <w:spacing w:line="360" w:lineRule="auto"/>
        <w:ind w:firstLine="482" w:firstLineChars="200"/>
        <w:rPr>
          <w:rFonts w:ascii="宋体" w:hAnsi="宋体" w:eastAsia="宋体" w:cs="宋体"/>
          <w:snapToGrid w:val="0"/>
          <w:color w:val="0000FF"/>
          <w:kern w:val="0"/>
        </w:rPr>
      </w:pPr>
      <w:r>
        <w:rPr>
          <w:rFonts w:ascii="Times New Roman" w:hAnsi="Times New Roman" w:eastAsia="宋体" w:cs="Times New Roman"/>
          <w:b/>
          <w:bCs/>
          <w:snapToGrid w:val="0"/>
          <w:color w:val="0000FF"/>
          <w:kern w:val="0"/>
        </w:rPr>
        <w:t>项目实际建设内容及规模：</w:t>
      </w:r>
    </w:p>
    <w:p>
      <w:pPr>
        <w:spacing w:line="360" w:lineRule="auto"/>
        <w:ind w:firstLine="480" w:firstLineChars="200"/>
        <w:rPr>
          <w:rFonts w:ascii="Times New Roman" w:hAnsi="Times New Roman" w:eastAsia="宋体" w:cs="Times New Roman"/>
          <w:color w:val="0000FF"/>
          <w:kern w:val="0"/>
        </w:rPr>
      </w:pPr>
      <w:r>
        <w:rPr>
          <w:rFonts w:ascii="Times New Roman" w:hAnsi="Times New Roman" w:cs="Times New Roman"/>
          <w:color w:val="0000FF"/>
        </w:rPr>
        <w:t>项目</w:t>
      </w:r>
      <w:r>
        <w:rPr>
          <w:rFonts w:hint="eastAsia" w:ascii="Times New Roman" w:hAnsi="Times New Roman" w:cs="Times New Roman"/>
          <w:color w:val="0000FF"/>
        </w:rPr>
        <w:t>位于重庆市合川区钱塘镇凤寺村5社，</w:t>
      </w:r>
      <w:r>
        <w:rPr>
          <w:rFonts w:ascii="Times New Roman" w:hAnsi="Times New Roman" w:eastAsia="宋体" w:cs="Times New Roman"/>
          <w:color w:val="0000FF"/>
          <w:kern w:val="0"/>
        </w:rPr>
        <w:t>总占地面积</w:t>
      </w:r>
      <w:r>
        <w:rPr>
          <w:rFonts w:hint="eastAsia" w:ascii="Times New Roman" w:hAnsi="Times New Roman" w:eastAsia="宋体" w:cs="Times New Roman"/>
          <w:color w:val="0000FF"/>
          <w:kern w:val="0"/>
        </w:rPr>
        <w:t>8000m</w:t>
      </w:r>
      <w:r>
        <w:rPr>
          <w:rFonts w:hint="eastAsia" w:ascii="Times New Roman" w:hAnsi="Times New Roman" w:eastAsia="宋体" w:cs="Times New Roman"/>
          <w:color w:val="0000FF"/>
          <w:kern w:val="0"/>
          <w:vertAlign w:val="superscript"/>
        </w:rPr>
        <w:t>2</w:t>
      </w:r>
      <w:r>
        <w:rPr>
          <w:rFonts w:ascii="Times New Roman" w:hAnsi="Times New Roman" w:eastAsia="宋体" w:cs="Times New Roman"/>
          <w:color w:val="0000FF"/>
          <w:kern w:val="0"/>
        </w:rPr>
        <w:t>，总建筑面积约</w:t>
      </w:r>
      <w:r>
        <w:rPr>
          <w:rFonts w:hint="eastAsia" w:ascii="Times New Roman" w:hAnsi="Times New Roman" w:eastAsia="宋体" w:cs="Times New Roman"/>
          <w:color w:val="0000FF"/>
        </w:rPr>
        <w:t>12210</w:t>
      </w:r>
      <w:r>
        <w:rPr>
          <w:rFonts w:ascii="Times New Roman" w:hAnsi="Times New Roman" w:eastAsia="宋体" w:cs="Times New Roman"/>
          <w:color w:val="0000FF"/>
          <w:kern w:val="0"/>
        </w:rPr>
        <w:t>m</w:t>
      </w:r>
      <w:r>
        <w:rPr>
          <w:rFonts w:ascii="Times New Roman" w:hAnsi="Times New Roman" w:eastAsia="宋体" w:cs="Times New Roman"/>
          <w:color w:val="0000FF"/>
          <w:kern w:val="0"/>
          <w:vertAlign w:val="superscript"/>
        </w:rPr>
        <w:t>2</w:t>
      </w:r>
      <w:r>
        <w:rPr>
          <w:rFonts w:ascii="Times New Roman" w:hAnsi="Times New Roman" w:eastAsia="宋体" w:cs="Times New Roman"/>
          <w:color w:val="0000FF"/>
          <w:kern w:val="0"/>
        </w:rPr>
        <w:t>。</w:t>
      </w:r>
      <w:r>
        <w:rPr>
          <w:rFonts w:ascii="Times New Roman" w:hAnsi="Times New Roman" w:eastAsia="宋体" w:cs="Times New Roman"/>
          <w:color w:val="0000FF"/>
          <w:kern w:val="0"/>
          <w:szCs w:val="22"/>
        </w:rPr>
        <w:t>由主体工程、辅助工程、公用工程和环保工程组成。主体工程为各养殖猪舍，包括母猪舍、</w:t>
      </w:r>
      <w:r>
        <w:rPr>
          <w:rFonts w:hint="eastAsia" w:ascii="Times New Roman" w:hAnsi="Times New Roman" w:eastAsia="宋体" w:cs="Times New Roman"/>
          <w:color w:val="0000FF"/>
          <w:kern w:val="0"/>
          <w:szCs w:val="22"/>
        </w:rPr>
        <w:t>养殖大楼（内设分娩舍</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保育舍</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育肥</w:t>
      </w:r>
      <w:r>
        <w:rPr>
          <w:rFonts w:ascii="Times New Roman" w:hAnsi="Times New Roman" w:eastAsia="宋体" w:cs="Times New Roman"/>
          <w:color w:val="0000FF"/>
          <w:kern w:val="0"/>
          <w:szCs w:val="22"/>
        </w:rPr>
        <w:t>舍</w:t>
      </w:r>
      <w:r>
        <w:rPr>
          <w:rFonts w:hint="eastAsia" w:ascii="Times New Roman" w:hAnsi="Times New Roman" w:eastAsia="宋体" w:cs="Times New Roman"/>
          <w:color w:val="0000FF"/>
          <w:kern w:val="0"/>
          <w:szCs w:val="22"/>
        </w:rPr>
        <w:t>）</w:t>
      </w:r>
      <w:r>
        <w:rPr>
          <w:rFonts w:ascii="Times New Roman" w:hAnsi="Times New Roman" w:eastAsia="宋体" w:cs="Times New Roman"/>
          <w:color w:val="0000FF"/>
          <w:kern w:val="0"/>
          <w:szCs w:val="22"/>
        </w:rPr>
        <w:t>等；辅助工程养殖区办公室</w:t>
      </w:r>
      <w:r>
        <w:rPr>
          <w:rFonts w:hint="eastAsia" w:ascii="Times New Roman" w:hAnsi="Times New Roman" w:eastAsia="宋体" w:cs="Times New Roman"/>
          <w:color w:val="0000FF"/>
          <w:kern w:val="0"/>
          <w:szCs w:val="22"/>
        </w:rPr>
        <w:t>、值班室、设备间</w:t>
      </w:r>
      <w:r>
        <w:rPr>
          <w:rFonts w:ascii="Times New Roman" w:hAnsi="Times New Roman" w:eastAsia="宋体" w:cs="Times New Roman"/>
          <w:color w:val="0000FF"/>
          <w:kern w:val="0"/>
          <w:szCs w:val="22"/>
        </w:rPr>
        <w:t>、</w:t>
      </w:r>
      <w:r>
        <w:rPr>
          <w:rFonts w:hint="eastAsia" w:ascii="Times New Roman" w:hAnsi="Times New Roman" w:eastAsia="宋体" w:cs="Times New Roman"/>
          <w:color w:val="0000FF"/>
          <w:kern w:val="0"/>
          <w:szCs w:val="22"/>
        </w:rPr>
        <w:t>检验检疫区</w:t>
      </w:r>
      <w:r>
        <w:rPr>
          <w:rFonts w:ascii="Times New Roman" w:hAnsi="Times New Roman" w:eastAsia="宋体" w:cs="Times New Roman"/>
          <w:color w:val="0000FF"/>
          <w:kern w:val="0"/>
          <w:szCs w:val="22"/>
        </w:rPr>
        <w:t>等；环保工程包括污水处理系统、废水还田系统、沼气净化系统等。</w:t>
      </w:r>
      <w:r>
        <w:rPr>
          <w:rFonts w:ascii="Times New Roman" w:hAnsi="Times New Roman" w:eastAsia="宋体" w:cs="Times New Roman"/>
          <w:color w:val="0000FF"/>
          <w:kern w:val="0"/>
        </w:rPr>
        <w:t>常年存栏母猪860头，</w:t>
      </w:r>
      <w:r>
        <w:rPr>
          <w:rFonts w:hint="eastAsia" w:ascii="Times New Roman" w:hAnsi="Times New Roman" w:eastAsia="宋体" w:cs="Times New Roman"/>
          <w:color w:val="0000FF"/>
          <w:kern w:val="0"/>
        </w:rPr>
        <w:t>达产年繁育仔猪17079头/年，</w:t>
      </w:r>
      <w:r>
        <w:rPr>
          <w:rFonts w:ascii="Times New Roman" w:hAnsi="Times New Roman" w:eastAsia="宋体" w:cs="Times New Roman"/>
          <w:color w:val="0000FF"/>
          <w:kern w:val="0"/>
        </w:rPr>
        <w:t>其中</w:t>
      </w:r>
      <w:r>
        <w:rPr>
          <w:rFonts w:hint="eastAsia" w:ascii="Times New Roman" w:hAnsi="Times New Roman" w:eastAsia="宋体" w:cs="Times New Roman"/>
          <w:color w:val="0000FF"/>
          <w:kern w:val="0"/>
        </w:rPr>
        <w:t>3</w:t>
      </w:r>
      <w:r>
        <w:rPr>
          <w:rFonts w:ascii="Times New Roman" w:hAnsi="Times New Roman" w:eastAsia="宋体" w:cs="Times New Roman"/>
          <w:color w:val="0000FF"/>
          <w:kern w:val="0"/>
        </w:rPr>
        <w:t>0%仔猪外售，</w:t>
      </w:r>
      <w:r>
        <w:rPr>
          <w:rFonts w:hint="eastAsia" w:ascii="Times New Roman" w:hAnsi="Times New Roman" w:eastAsia="宋体" w:cs="Times New Roman"/>
          <w:color w:val="0000FF"/>
          <w:kern w:val="0"/>
        </w:rPr>
        <w:t>7</w:t>
      </w:r>
      <w:r>
        <w:rPr>
          <w:rFonts w:ascii="Times New Roman" w:hAnsi="Times New Roman" w:eastAsia="宋体" w:cs="Times New Roman"/>
          <w:color w:val="0000FF"/>
          <w:kern w:val="0"/>
        </w:rPr>
        <w:t>0%仔猪采取自繁自养模式，商品肉猪采取保育育肥一体化养殖模式，年出栏商品肉猪</w:t>
      </w:r>
      <w:r>
        <w:rPr>
          <w:rFonts w:hint="eastAsia" w:ascii="Times New Roman" w:hAnsi="Times New Roman" w:eastAsia="宋体" w:cs="Times New Roman"/>
          <w:color w:val="0000FF"/>
          <w:kern w:val="0"/>
        </w:rPr>
        <w:t>1.2</w:t>
      </w:r>
      <w:r>
        <w:rPr>
          <w:rFonts w:ascii="Times New Roman" w:hAnsi="Times New Roman" w:eastAsia="宋体" w:cs="Times New Roman"/>
          <w:color w:val="0000FF"/>
          <w:kern w:val="0"/>
        </w:rPr>
        <w:t>万头</w:t>
      </w:r>
      <w:r>
        <w:rPr>
          <w:rFonts w:hint="eastAsia" w:ascii="Times New Roman" w:hAnsi="Times New Roman" w:eastAsia="宋体" w:cs="Times New Roman"/>
          <w:color w:val="0000FF"/>
          <w:kern w:val="0"/>
        </w:rPr>
        <w:t>，出栏保育仔猪5124头。项目总投资约</w:t>
      </w:r>
      <w:r>
        <w:rPr>
          <w:rFonts w:ascii="Times New Roman" w:hAnsi="Times New Roman" w:eastAsia="宋体" w:cs="Times New Roman"/>
          <w:color w:val="0000FF"/>
          <w:kern w:val="0"/>
        </w:rPr>
        <w:t>2800</w:t>
      </w:r>
      <w:r>
        <w:rPr>
          <w:rFonts w:hint="eastAsia" w:ascii="Times New Roman" w:hAnsi="Times New Roman" w:eastAsia="宋体" w:cs="Times New Roman"/>
          <w:color w:val="0000FF"/>
          <w:kern w:val="0"/>
        </w:rPr>
        <w:t>万元，其中环保投资约</w:t>
      </w:r>
      <w:r>
        <w:rPr>
          <w:rFonts w:ascii="Times New Roman" w:hAnsi="Times New Roman" w:eastAsia="宋体" w:cs="Times New Roman"/>
          <w:color w:val="0000FF"/>
          <w:kern w:val="0"/>
        </w:rPr>
        <w:t>169.8</w:t>
      </w:r>
      <w:r>
        <w:rPr>
          <w:rFonts w:hint="eastAsia" w:ascii="Times New Roman" w:hAnsi="Times New Roman" w:eastAsia="宋体" w:cs="Times New Roman"/>
          <w:color w:val="0000FF"/>
          <w:kern w:val="0"/>
        </w:rPr>
        <w:t>万元。</w:t>
      </w:r>
    </w:p>
    <w:p>
      <w:pPr>
        <w:spacing w:line="360" w:lineRule="auto"/>
        <w:ind w:firstLine="470" w:firstLineChars="196"/>
        <w:rPr>
          <w:rFonts w:ascii="Times New Roman" w:hAnsi="Times New Roman" w:cs="Times New Roman"/>
        </w:rPr>
      </w:pPr>
      <w:bookmarkStart w:id="12" w:name="_Hlk101705544"/>
      <w:r>
        <w:rPr>
          <w:rFonts w:ascii="Times New Roman" w:hAnsi="Times New Roman" w:cs="Times New Roman"/>
        </w:rPr>
        <w:t>重庆市九升检测</w:t>
      </w:r>
      <w:r>
        <w:rPr>
          <w:rFonts w:hint="eastAsia" w:ascii="Times New Roman" w:hAnsi="Times New Roman" w:cs="Times New Roman"/>
        </w:rPr>
        <w:t>技术</w:t>
      </w:r>
      <w:r>
        <w:rPr>
          <w:rFonts w:ascii="Times New Roman" w:hAnsi="Times New Roman" w:cs="Times New Roman"/>
        </w:rPr>
        <w:t>有限公司受合川区尹发家庭农场委托，承担了该项目竣工环境保护验收监测工作。在收集相关资料基础上，根据</w:t>
      </w:r>
      <w:r>
        <w:rPr>
          <w:rFonts w:hint="eastAsia" w:ascii="Times New Roman" w:hAnsi="Times New Roman" w:cs="Times New Roman"/>
        </w:rPr>
        <w:t>《建设项目竣工环境保护验收技术指南 污染影响类》（生态环境部办公厅2018年5月16日印发）</w:t>
      </w:r>
      <w:r>
        <w:rPr>
          <w:rFonts w:ascii="Times New Roman" w:hAnsi="Times New Roman" w:cs="Times New Roman"/>
        </w:rPr>
        <w:t>等文件要求，我公司于2023年10月对该项目进行了现场踏勘，了解了工程概况、周边区域环境特点及企业自查结果，在此基础上，编写完成了该项目竣工环境保护验收监测方案。依据验收监测方案，我公司于</w:t>
      </w:r>
      <w:r>
        <w:rPr>
          <w:rFonts w:hint="eastAsia" w:ascii="Times New Roman" w:hAnsi="Times New Roman" w:cs="Times New Roman"/>
        </w:rPr>
        <w:t>2023年11月28日至2023年11月29日</w:t>
      </w:r>
      <w:r>
        <w:rPr>
          <w:rFonts w:ascii="Times New Roman" w:hAnsi="Times New Roman" w:cs="Times New Roman"/>
        </w:rPr>
        <w:t>对该项目进行了竣工环境保护验收监测，同时对该项目“三同时”执行情况、环境保护设施建设情况、环境保护管理等方面进行了现场检查。最后根据现场检查结果及验收监测数据，编制完成了该项目竣工环境保护验收监测报告。</w:t>
      </w:r>
    </w:p>
    <w:bookmarkEnd w:id="12"/>
    <w:p>
      <w:pPr>
        <w:pStyle w:val="2"/>
        <w:rPr>
          <w:rFonts w:cs="Times New Roman"/>
        </w:rPr>
      </w:pPr>
      <w:bookmarkStart w:id="13" w:name="_Toc497987603"/>
      <w:bookmarkStart w:id="14" w:name="_Toc497987765"/>
      <w:bookmarkStart w:id="15" w:name="_Toc497988046"/>
      <w:bookmarkStart w:id="16" w:name="_Toc497925993"/>
      <w:r>
        <w:rPr>
          <w:rFonts w:cs="Times New Roman"/>
          <w:bCs w:val="0"/>
        </w:rPr>
        <w:br w:type="page"/>
      </w:r>
      <w:bookmarkStart w:id="17" w:name="_Toc926"/>
      <w:bookmarkStart w:id="18" w:name="_Toc102039286"/>
      <w:bookmarkStart w:id="19" w:name="_Toc27029"/>
      <w:r>
        <w:rPr>
          <w:rFonts w:cs="Times New Roman"/>
          <w:bCs w:val="0"/>
          <w:szCs w:val="36"/>
        </w:rPr>
        <w:t>2 验收依据</w:t>
      </w:r>
      <w:bookmarkEnd w:id="13"/>
      <w:bookmarkEnd w:id="14"/>
      <w:bookmarkEnd w:id="15"/>
      <w:bookmarkEnd w:id="16"/>
      <w:bookmarkEnd w:id="17"/>
      <w:bookmarkEnd w:id="18"/>
      <w:bookmarkEnd w:id="19"/>
    </w:p>
    <w:p>
      <w:pPr>
        <w:pStyle w:val="3"/>
        <w:rPr>
          <w:rFonts w:cs="Times New Roman"/>
          <w:szCs w:val="32"/>
        </w:rPr>
      </w:pPr>
      <w:bookmarkStart w:id="20" w:name="_Toc497987604"/>
      <w:bookmarkStart w:id="21" w:name="_Toc497925994"/>
      <w:bookmarkStart w:id="22" w:name="_Toc3132"/>
      <w:bookmarkStart w:id="23" w:name="_Toc102039287"/>
      <w:bookmarkStart w:id="24" w:name="_Toc7066"/>
      <w:bookmarkStart w:id="25" w:name="_Toc497988047"/>
      <w:bookmarkStart w:id="26" w:name="_Toc497987766"/>
      <w:r>
        <w:rPr>
          <w:rFonts w:cs="Times New Roman"/>
          <w:szCs w:val="32"/>
        </w:rPr>
        <w:t>2.1建设项目环境保护相关法律、法规、章程和规范</w:t>
      </w:r>
      <w:bookmarkEnd w:id="20"/>
      <w:bookmarkEnd w:id="21"/>
      <w:bookmarkEnd w:id="22"/>
      <w:bookmarkEnd w:id="23"/>
      <w:bookmarkEnd w:id="24"/>
      <w:bookmarkEnd w:id="25"/>
      <w:bookmarkEnd w:id="26"/>
    </w:p>
    <w:p>
      <w:pPr>
        <w:numPr>
          <w:ilvl w:val="0"/>
          <w:numId w:val="2"/>
        </w:numPr>
        <w:spacing w:line="360" w:lineRule="auto"/>
        <w:rPr>
          <w:rFonts w:ascii="Times New Roman" w:hAnsi="Times New Roman" w:cs="Times New Roman"/>
        </w:rPr>
      </w:pPr>
      <w:r>
        <w:rPr>
          <w:rFonts w:ascii="Times New Roman" w:hAnsi="Times New Roman" w:cs="Times New Roman"/>
        </w:rPr>
        <w:t>《中华人民共和国环境保护法》（2014年4月修订）</w:t>
      </w:r>
    </w:p>
    <w:p>
      <w:pPr>
        <w:numPr>
          <w:ilvl w:val="0"/>
          <w:numId w:val="2"/>
        </w:numPr>
        <w:spacing w:line="360" w:lineRule="auto"/>
        <w:rPr>
          <w:rFonts w:ascii="Times New Roman" w:hAnsi="Times New Roman" w:cs="Times New Roman"/>
        </w:rPr>
      </w:pPr>
      <w:r>
        <w:rPr>
          <w:rFonts w:ascii="Times New Roman" w:hAnsi="Times New Roman" w:cs="Times New Roman"/>
        </w:rPr>
        <w:t>《建设项目环境保护管理条例》（国务院令第682号，2017）；</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《中华人民共和国水污染防治法》（2017年6月修改）；</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《中华人民共和国大气污染防治法》（2018年10月修正）；</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《中华人民共和国环境噪声污染防治法》（</w:t>
      </w:r>
      <w:r>
        <w:rPr>
          <w:rFonts w:hint="eastAsia" w:ascii="Times New Roman" w:hAnsi="Times New Roman" w:cs="Times New Roman"/>
        </w:rPr>
        <w:t>2022年6月5日起施行</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《中华人民共和国固体废物污染环境防治法》（</w:t>
      </w:r>
      <w:r>
        <w:rPr>
          <w:rFonts w:hint="eastAsia" w:ascii="Times New Roman" w:hAnsi="Times New Roman" w:cs="Times New Roman"/>
        </w:rPr>
        <w:t>2020年9月1日起施行</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《中华人民共和国环境影响评价法》（2018年12月修订）；</w:t>
      </w:r>
    </w:p>
    <w:p>
      <w:pPr>
        <w:numPr>
          <w:ilvl w:val="0"/>
          <w:numId w:val="2"/>
        </w:numPr>
        <w:spacing w:line="360" w:lineRule="auto"/>
        <w:rPr>
          <w:rFonts w:ascii="Times New Roman" w:hAnsi="Times New Roman" w:cs="Times New Roman"/>
        </w:rPr>
      </w:pPr>
      <w:r>
        <w:rPr>
          <w:rFonts w:ascii="Times New Roman" w:hAnsi="Times New Roman" w:cs="Times New Roman"/>
        </w:rPr>
        <w:t>《建设项目环境影响评价分类管理名录》（2021年版）；</w:t>
      </w:r>
    </w:p>
    <w:p>
      <w:pPr>
        <w:numPr>
          <w:ilvl w:val="0"/>
          <w:numId w:val="2"/>
        </w:numPr>
        <w:spacing w:line="360" w:lineRule="auto"/>
        <w:rPr>
          <w:rFonts w:ascii="Times New Roman" w:hAnsi="Times New Roman" w:cs="Times New Roman"/>
        </w:rPr>
      </w:pPr>
      <w:r>
        <w:rPr>
          <w:rFonts w:ascii="Times New Roman" w:hAnsi="Times New Roman" w:cs="Times New Roman"/>
        </w:rPr>
        <w:t>中华人民共和国国务院令第591号《危险化学品安全管理条例》（2013年12月7日修订）；</w:t>
      </w:r>
    </w:p>
    <w:p>
      <w:pPr>
        <w:numPr>
          <w:ilvl w:val="0"/>
          <w:numId w:val="2"/>
        </w:numPr>
        <w:spacing w:line="360" w:lineRule="auto"/>
        <w:rPr>
          <w:rFonts w:ascii="Times New Roman" w:hAnsi="Times New Roman" w:cs="Times New Roman"/>
        </w:rPr>
      </w:pPr>
      <w:r>
        <w:rPr>
          <w:rFonts w:ascii="Times New Roman" w:hAnsi="Times New Roman" w:cs="Times New Roman"/>
        </w:rPr>
        <w:t>国发（1996）31号《国务院关于环境保护若干问题的决定》（1996年8月3日）；</w:t>
      </w:r>
    </w:p>
    <w:p>
      <w:pPr>
        <w:numPr>
          <w:ilvl w:val="0"/>
          <w:numId w:val="2"/>
        </w:numPr>
        <w:spacing w:line="360" w:lineRule="auto"/>
        <w:rPr>
          <w:rFonts w:ascii="Times New Roman" w:hAnsi="Times New Roman" w:cs="Times New Roman"/>
        </w:rPr>
      </w:pPr>
      <w:r>
        <w:rPr>
          <w:rFonts w:ascii="Times New Roman" w:hAnsi="Times New Roman" w:cs="Times New Roman"/>
        </w:rPr>
        <w:t>《大气污染防治行动计划》（国发[2013]37号）；</w:t>
      </w:r>
    </w:p>
    <w:p>
      <w:pPr>
        <w:numPr>
          <w:ilvl w:val="0"/>
          <w:numId w:val="2"/>
        </w:numPr>
        <w:spacing w:line="360" w:lineRule="auto"/>
        <w:rPr>
          <w:rFonts w:ascii="Times New Roman" w:hAnsi="Times New Roman" w:cs="Times New Roman"/>
        </w:rPr>
      </w:pPr>
      <w:r>
        <w:rPr>
          <w:rFonts w:ascii="Times New Roman" w:hAnsi="Times New Roman" w:cs="Times New Roman"/>
        </w:rPr>
        <w:t>《水污染防治行动计划》（国发[2015]17号）；</w:t>
      </w:r>
    </w:p>
    <w:p>
      <w:pPr>
        <w:numPr>
          <w:ilvl w:val="0"/>
          <w:numId w:val="2"/>
        </w:num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危险废物转移管理办法</w:t>
      </w:r>
      <w:r>
        <w:rPr>
          <w:rFonts w:ascii="Times New Roman" w:hAnsi="Times New Roman" w:cs="Times New Roman"/>
        </w:rPr>
        <w:t>》</w:t>
      </w:r>
      <w:r>
        <w:rPr>
          <w:rFonts w:hint="eastAsia" w:ascii="Times New Roman" w:hAnsi="Times New Roman" w:cs="Times New Roman"/>
        </w:rPr>
        <w:t>（生态环境部、公安部、交通运输部部令 第23号，2</w:t>
      </w:r>
      <w:r>
        <w:rPr>
          <w:rFonts w:ascii="Times New Roman" w:hAnsi="Times New Roman" w:cs="Times New Roman"/>
        </w:rPr>
        <w:t>022</w:t>
      </w:r>
      <w:r>
        <w:rPr>
          <w:rFonts w:hint="eastAsia" w:ascii="Times New Roman" w:hAnsi="Times New Roman" w:cs="Times New Roman"/>
        </w:rPr>
        <w:t>年1月1日起施行）</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环境保护部令第34号《突发环境事件应急管理办法》；</w:t>
      </w:r>
    </w:p>
    <w:p>
      <w:pPr>
        <w:numPr>
          <w:ilvl w:val="0"/>
          <w:numId w:val="2"/>
        </w:num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国家危险废物名录</w:t>
      </w:r>
      <w:r>
        <w:rPr>
          <w:rFonts w:ascii="Times New Roman" w:hAnsi="Times New Roman" w:cs="Times New Roman"/>
        </w:rPr>
        <w:t>》</w:t>
      </w:r>
      <w:r>
        <w:rPr>
          <w:rFonts w:hint="eastAsia" w:ascii="Times New Roman" w:hAnsi="Times New Roman" w:cs="Times New Roman"/>
        </w:rPr>
        <w:t>（2021年版）</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环发[2001] 19号《关于进一步加强建设项目环境保护管理工作的通知》；</w:t>
      </w:r>
    </w:p>
    <w:p>
      <w:pPr>
        <w:numPr>
          <w:ilvl w:val="0"/>
          <w:numId w:val="2"/>
        </w:numPr>
        <w:spacing w:line="360" w:lineRule="auto"/>
        <w:rPr>
          <w:rFonts w:ascii="Times New Roman" w:hAnsi="Times New Roman" w:cs="Times New Roman"/>
        </w:rPr>
      </w:pPr>
      <w:r>
        <w:rPr>
          <w:rFonts w:ascii="Times New Roman" w:hAnsi="Times New Roman" w:cs="Times New Roman"/>
        </w:rPr>
        <w:t>《关于进一步加强环境影响评价管理防范环境风险的通知》；</w:t>
      </w:r>
    </w:p>
    <w:p>
      <w:pPr>
        <w:numPr>
          <w:ilvl w:val="0"/>
          <w:numId w:val="2"/>
        </w:numPr>
        <w:spacing w:line="360" w:lineRule="auto"/>
        <w:rPr>
          <w:rFonts w:ascii="Times New Roman" w:hAnsi="Times New Roman" w:cs="Times New Roman"/>
        </w:rPr>
      </w:pPr>
      <w:r>
        <w:rPr>
          <w:rFonts w:ascii="Times New Roman" w:hAnsi="Times New Roman" w:cs="Times New Roman"/>
        </w:rPr>
        <w:t>《关于印发&lt;突发环境事件应急预案管理暂行办法&gt;的通知》；</w:t>
      </w:r>
    </w:p>
    <w:p>
      <w:pPr>
        <w:numPr>
          <w:ilvl w:val="0"/>
          <w:numId w:val="2"/>
        </w:numPr>
        <w:spacing w:line="360" w:lineRule="auto"/>
        <w:rPr>
          <w:rFonts w:ascii="Times New Roman" w:hAnsi="Times New Roman" w:cs="Times New Roman"/>
        </w:rPr>
      </w:pPr>
      <w:r>
        <w:rPr>
          <w:rFonts w:ascii="Times New Roman" w:hAnsi="Times New Roman" w:cs="Times New Roman"/>
        </w:rPr>
        <w:t xml:space="preserve">《排污单位自行监测技术指南 </w:t>
      </w:r>
      <w:r>
        <w:rPr>
          <w:rFonts w:hint="eastAsia" w:ascii="Times New Roman" w:hAnsi="Times New Roman" w:cs="Times New Roman"/>
        </w:rPr>
        <w:t>畜禽养殖行业</w:t>
      </w:r>
      <w:r>
        <w:rPr>
          <w:rFonts w:ascii="Times New Roman" w:hAnsi="Times New Roman" w:cs="Times New Roman"/>
        </w:rPr>
        <w:t>》（HJ 1252-2022）；</w:t>
      </w:r>
    </w:p>
    <w:p>
      <w:pPr>
        <w:numPr>
          <w:ilvl w:val="0"/>
          <w:numId w:val="2"/>
        </w:numPr>
        <w:spacing w:line="360" w:lineRule="auto"/>
        <w:rPr>
          <w:rFonts w:ascii="Times New Roman" w:hAnsi="Times New Roman" w:cs="Times New Roman"/>
        </w:rPr>
      </w:pPr>
      <w:r>
        <w:rPr>
          <w:rFonts w:ascii="Times New Roman" w:hAnsi="Times New Roman" w:cs="Times New Roman"/>
        </w:rPr>
        <w:t>《重庆市环境保护条例》（2018年</w:t>
      </w:r>
      <w:r>
        <w:rPr>
          <w:rFonts w:hint="eastAsia" w:ascii="Times New Roman" w:hAnsi="Times New Roman" w:cs="Times New Roman"/>
        </w:rPr>
        <w:t>7</w:t>
      </w:r>
      <w:r>
        <w:rPr>
          <w:rFonts w:ascii="Times New Roman" w:hAnsi="Times New Roman" w:cs="Times New Roman"/>
        </w:rPr>
        <w:t>月修订）；</w:t>
      </w:r>
    </w:p>
    <w:p>
      <w:pPr>
        <w:numPr>
          <w:ilvl w:val="0"/>
          <w:numId w:val="2"/>
        </w:numPr>
        <w:spacing w:line="360" w:lineRule="auto"/>
        <w:rPr>
          <w:rFonts w:ascii="Times New Roman" w:hAnsi="Times New Roman" w:cs="Times New Roman"/>
        </w:rPr>
      </w:pPr>
      <w:r>
        <w:rPr>
          <w:rFonts w:hint="eastAsia" w:ascii="Times New Roman" w:hAnsi="Times New Roman" w:cs="Times New Roman"/>
        </w:rPr>
        <w:t>《重庆市大气污染防治条例》（2021年5月27日修正）</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《重庆市环境噪声污染防治办法》（渝府令第270号）；</w:t>
      </w:r>
    </w:p>
    <w:p>
      <w:pPr>
        <w:numPr>
          <w:ilvl w:val="0"/>
          <w:numId w:val="2"/>
        </w:num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重庆市噪声污染防治办法</w:t>
      </w:r>
      <w:r>
        <w:rPr>
          <w:rFonts w:ascii="Times New Roman" w:hAnsi="Times New Roman" w:cs="Times New Roman"/>
        </w:rPr>
        <w:t>》（</w:t>
      </w:r>
      <w:r>
        <w:rPr>
          <w:rFonts w:hint="eastAsia" w:ascii="Times New Roman" w:hAnsi="Times New Roman" w:cs="Times New Roman"/>
        </w:rPr>
        <w:t>重庆市人民政府令第</w:t>
      </w:r>
      <w:r>
        <w:rPr>
          <w:rFonts w:ascii="Times New Roman" w:hAnsi="Times New Roman" w:cs="Times New Roman"/>
        </w:rPr>
        <w:t xml:space="preserve"> 363 </w:t>
      </w:r>
      <w:r>
        <w:rPr>
          <w:rFonts w:hint="eastAsia" w:ascii="Times New Roman" w:hAnsi="Times New Roman" w:cs="Times New Roman"/>
        </w:rPr>
        <w:t>号</w:t>
      </w:r>
      <w:r>
        <w:rPr>
          <w:rFonts w:ascii="Times New Roman" w:hAnsi="Times New Roman" w:cs="Times New Roman"/>
        </w:rPr>
        <w:t>）</w:t>
      </w:r>
      <w:r>
        <w:rPr>
          <w:rFonts w:hint="eastAsia"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《重庆市人民政府关于印发贯彻落实国务院水污染防治行动计划实施方案的通知》（渝府发〔2015〕69号）</w:t>
      </w:r>
      <w:r>
        <w:rPr>
          <w:rFonts w:hint="eastAsia" w:ascii="Times New Roman" w:hAnsi="Times New Roman" w:cs="Times New Roman"/>
        </w:rPr>
        <w:t>。</w:t>
      </w:r>
    </w:p>
    <w:p>
      <w:pPr>
        <w:pStyle w:val="3"/>
        <w:rPr>
          <w:rFonts w:cs="Times New Roman"/>
          <w:szCs w:val="32"/>
        </w:rPr>
      </w:pPr>
      <w:bookmarkStart w:id="27" w:name="_Toc497988048"/>
      <w:bookmarkStart w:id="28" w:name="_Toc1691"/>
      <w:bookmarkStart w:id="29" w:name="_Toc497987767"/>
      <w:bookmarkStart w:id="30" w:name="_Toc497987605"/>
      <w:bookmarkStart w:id="31" w:name="_Toc29906"/>
      <w:bookmarkStart w:id="32" w:name="_Toc497925995"/>
      <w:bookmarkStart w:id="33" w:name="_Toc102039288"/>
      <w:r>
        <w:rPr>
          <w:rFonts w:cs="Times New Roman"/>
          <w:szCs w:val="32"/>
        </w:rPr>
        <w:t>2.2建设项目竣工环境保护验收技术规范</w:t>
      </w:r>
      <w:bookmarkEnd w:id="27"/>
      <w:bookmarkEnd w:id="28"/>
      <w:bookmarkEnd w:id="29"/>
      <w:bookmarkEnd w:id="30"/>
      <w:bookmarkEnd w:id="31"/>
      <w:bookmarkEnd w:id="32"/>
      <w:bookmarkEnd w:id="33"/>
    </w:p>
    <w:p>
      <w:pPr>
        <w:spacing w:line="360" w:lineRule="auto"/>
        <w:rPr>
          <w:rFonts w:ascii="Times New Roman" w:hAnsi="Times New Roman" w:cs="Times New Roman"/>
        </w:rPr>
      </w:pPr>
      <w:r>
        <w:rPr>
          <w:rFonts w:ascii="Times New Roman" w:hAnsi="Times New Roman" w:cs="Times New Roman"/>
        </w:rPr>
        <w:t>1、生态环境部关于发布《建设项目竣工环境保护验收技术指南污染影响类》的公告（公告 2018年第9号）；</w:t>
      </w:r>
    </w:p>
    <w:p>
      <w:pPr>
        <w:spacing w:line="360" w:lineRule="auto"/>
        <w:rPr>
          <w:rFonts w:ascii="Times New Roman" w:hAnsi="Times New Roman" w:cs="Times New Roman"/>
        </w:rPr>
      </w:pPr>
      <w:r>
        <w:rPr>
          <w:rFonts w:ascii="Times New Roman" w:hAnsi="Times New Roman" w:cs="Times New Roman"/>
        </w:rPr>
        <w:t>2、《关于印发建设项目竣工环境保护验收现场检查及审查要点的通知》</w:t>
      </w:r>
      <w:r>
        <w:rPr>
          <w:rFonts w:hint="eastAsia" w:ascii="Times New Roman" w:hAnsi="Times New Roman" w:cs="Times New Roman"/>
        </w:rPr>
        <w:t>（</w:t>
      </w:r>
      <w:r>
        <w:rPr>
          <w:rFonts w:ascii="Times New Roman" w:hAnsi="Times New Roman" w:cs="Times New Roman"/>
        </w:rPr>
        <w:t>环办[2015]113号</w:t>
      </w:r>
      <w:r>
        <w:rPr>
          <w:rFonts w:hint="eastAsia" w:ascii="Times New Roman" w:hAnsi="Times New Roman" w:cs="Times New Roman"/>
        </w:rPr>
        <w:t>）</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3、关于印发《污染影响类建设项目重大变动清单（试行）》的通知（环办环评函〔2020〕688 号）。</w:t>
      </w:r>
    </w:p>
    <w:p>
      <w:pPr>
        <w:pStyle w:val="3"/>
        <w:rPr>
          <w:rFonts w:cs="Times New Roman"/>
          <w:szCs w:val="32"/>
        </w:rPr>
      </w:pPr>
      <w:bookmarkStart w:id="34" w:name="_Toc102039289"/>
      <w:bookmarkStart w:id="35" w:name="_Toc497987768"/>
      <w:bookmarkStart w:id="36" w:name="_Toc497925996"/>
      <w:bookmarkStart w:id="37" w:name="_Toc497987606"/>
      <w:bookmarkStart w:id="38" w:name="_Toc497988049"/>
      <w:bookmarkStart w:id="39" w:name="_Toc7647"/>
      <w:bookmarkStart w:id="40" w:name="_Toc24557"/>
      <w:r>
        <w:rPr>
          <w:rFonts w:cs="Times New Roman"/>
          <w:szCs w:val="32"/>
        </w:rPr>
        <w:t>2.3建设项目环境影响报告书（表）及审批部门审批决定</w:t>
      </w:r>
      <w:bookmarkEnd w:id="34"/>
      <w:bookmarkEnd w:id="35"/>
      <w:bookmarkEnd w:id="36"/>
      <w:bookmarkEnd w:id="37"/>
      <w:bookmarkEnd w:id="38"/>
      <w:bookmarkEnd w:id="39"/>
      <w:bookmarkEnd w:id="40"/>
    </w:p>
    <w:p>
      <w:pPr>
        <w:spacing w:line="360" w:lineRule="auto"/>
        <w:rPr>
          <w:rFonts w:ascii="Times New Roman" w:hAnsi="Times New Roman" w:cs="Times New Roman"/>
        </w:rPr>
      </w:pPr>
      <w:r>
        <w:rPr>
          <w:rFonts w:ascii="Times New Roman" w:hAnsi="Times New Roman" w:cs="Times New Roman"/>
          <w:bCs/>
        </w:rPr>
        <w:t>1、《</w:t>
      </w:r>
      <w:r>
        <w:rPr>
          <w:rFonts w:ascii="Times New Roman" w:hAnsi="Times New Roman" w:cs="Times New Roman"/>
        </w:rPr>
        <w:t>合川区尹发家庭农场巴渝土杂猪养殖项目</w:t>
      </w:r>
      <w:r>
        <w:rPr>
          <w:rFonts w:ascii="Times New Roman" w:hAnsi="Times New Roman" w:cs="Times New Roman"/>
          <w:bCs/>
        </w:rPr>
        <w:t>环境影响</w:t>
      </w:r>
      <w:r>
        <w:rPr>
          <w:rFonts w:hint="eastAsia" w:ascii="Times New Roman" w:hAnsi="Times New Roman" w:cs="Times New Roman"/>
          <w:bCs/>
        </w:rPr>
        <w:t>报告书</w:t>
      </w:r>
      <w:r>
        <w:rPr>
          <w:rFonts w:ascii="Times New Roman" w:hAnsi="Times New Roman" w:cs="Times New Roman"/>
        </w:rPr>
        <w:t>》（重庆华地资环科技有限公司，2021年1月）；</w:t>
      </w:r>
    </w:p>
    <w:p>
      <w:pPr>
        <w:spacing w:line="360" w:lineRule="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《重庆市建设项目环境影响评价文件批准书》（渝（合）环准〔2021〕114号）（重庆市合川区生态环境局，2</w:t>
      </w:r>
      <w:r>
        <w:rPr>
          <w:rFonts w:ascii="Times New Roman" w:hAnsi="Times New Roman" w:cs="Times New Roman"/>
        </w:rPr>
        <w:t>021</w:t>
      </w:r>
      <w:r>
        <w:rPr>
          <w:rFonts w:hint="eastAsia" w:ascii="Times New Roman" w:hAnsi="Times New Roman" w:cs="Times New Roman"/>
        </w:rPr>
        <w:t>年1</w:t>
      </w:r>
      <w:r>
        <w:rPr>
          <w:rFonts w:ascii="Times New Roman" w:hAnsi="Times New Roman" w:cs="Times New Roman"/>
        </w:rPr>
        <w:t>1</w:t>
      </w:r>
      <w:r>
        <w:rPr>
          <w:rFonts w:hint="eastAsia" w:ascii="Times New Roman" w:hAnsi="Times New Roman" w:cs="Times New Roman"/>
        </w:rPr>
        <w:t>月9日）；</w:t>
      </w:r>
    </w:p>
    <w:p>
      <w:pPr>
        <w:spacing w:line="360" w:lineRule="auto"/>
        <w:rPr>
          <w:rFonts w:ascii="Times New Roman" w:hAnsi="Times New Roman" w:cs="Times New Roman"/>
        </w:rPr>
      </w:pPr>
      <w:r>
        <w:rPr>
          <w:rFonts w:hint="eastAsia" w:ascii="Times New Roman" w:hAnsi="Times New Roman" w:cs="Times New Roman"/>
        </w:rPr>
        <w:t>3、《固定污染源排污登记回执》（登记编号：92500117MA60WE9U3A001Z）；</w:t>
      </w:r>
    </w:p>
    <w:p>
      <w:pPr>
        <w:spacing w:line="360" w:lineRule="auto"/>
        <w:rPr>
          <w:rFonts w:ascii="Times New Roman" w:hAnsi="Times New Roman" w:cs="Times New Roman"/>
        </w:rPr>
      </w:pPr>
      <w:r>
        <w:rPr>
          <w:rFonts w:hint="eastAsia" w:ascii="Times New Roman" w:hAnsi="Times New Roman" w:cs="Times New Roman"/>
        </w:rPr>
        <w:t>4、合川区尹发家庭农场提供的其他相关资料</w:t>
      </w:r>
      <w:r>
        <w:rPr>
          <w:rFonts w:ascii="Times New Roman" w:hAnsi="Times New Roman" w:cs="Times New Roman"/>
        </w:rPr>
        <w:t>。</w:t>
      </w:r>
    </w:p>
    <w:p>
      <w:pPr>
        <w:spacing w:line="360" w:lineRule="auto"/>
        <w:rPr>
          <w:rFonts w:ascii="Times New Roman" w:hAnsi="Times New Roman" w:cs="Times New Roman"/>
          <w:b/>
          <w:bCs/>
          <w:sz w:val="36"/>
          <w:szCs w:val="36"/>
        </w:rPr>
      </w:pPr>
      <w:r>
        <w:rPr>
          <w:rFonts w:ascii="Times New Roman" w:hAnsi="Times New Roman" w:cs="Times New Roman"/>
        </w:rPr>
        <w:br w:type="page"/>
      </w:r>
      <w:bookmarkStart w:id="41" w:name="_Toc497987769"/>
      <w:bookmarkStart w:id="42" w:name="_Toc15607"/>
      <w:bookmarkStart w:id="43" w:name="_Toc497988050"/>
      <w:bookmarkStart w:id="44" w:name="_Toc11106"/>
      <w:bookmarkStart w:id="45" w:name="_Toc497987607"/>
      <w:bookmarkStart w:id="46" w:name="_Toc497925997"/>
      <w:r>
        <w:rPr>
          <w:rFonts w:ascii="Times New Roman" w:hAnsi="Times New Roman" w:cs="Times New Roman"/>
          <w:b/>
          <w:bCs/>
          <w:sz w:val="36"/>
          <w:szCs w:val="36"/>
        </w:rPr>
        <w:t>3 工程建设情况</w:t>
      </w:r>
      <w:bookmarkEnd w:id="41"/>
      <w:bookmarkEnd w:id="42"/>
      <w:bookmarkEnd w:id="43"/>
      <w:bookmarkEnd w:id="44"/>
      <w:bookmarkEnd w:id="45"/>
      <w:bookmarkEnd w:id="46"/>
    </w:p>
    <w:p>
      <w:pPr>
        <w:pStyle w:val="3"/>
        <w:rPr>
          <w:rFonts w:cs="Times New Roman"/>
          <w:szCs w:val="32"/>
        </w:rPr>
      </w:pPr>
      <w:bookmarkStart w:id="47" w:name="_Toc497987770"/>
      <w:bookmarkStart w:id="48" w:name="_Toc102039290"/>
      <w:bookmarkStart w:id="49" w:name="_Toc497925998"/>
      <w:bookmarkStart w:id="50" w:name="_Toc2280"/>
      <w:bookmarkStart w:id="51" w:name="_Toc3953"/>
      <w:bookmarkStart w:id="52" w:name="_Toc497988051"/>
      <w:bookmarkStart w:id="53" w:name="_Toc497987608"/>
      <w:r>
        <w:rPr>
          <w:rFonts w:cs="Times New Roman"/>
          <w:szCs w:val="32"/>
        </w:rPr>
        <w:t>3.1地理位置及平面布置</w:t>
      </w:r>
      <w:bookmarkEnd w:id="47"/>
      <w:bookmarkEnd w:id="48"/>
      <w:bookmarkEnd w:id="49"/>
      <w:bookmarkEnd w:id="50"/>
      <w:bookmarkEnd w:id="51"/>
      <w:bookmarkEnd w:id="52"/>
      <w:bookmarkEnd w:id="53"/>
    </w:p>
    <w:p>
      <w:pPr>
        <w:spacing w:line="360" w:lineRule="auto"/>
        <w:ind w:firstLine="480" w:firstLineChars="200"/>
        <w:rPr>
          <w:rFonts w:ascii="Times New Roman" w:hAnsi="Times New Roman" w:cs="Times New Roman"/>
          <w:bCs/>
        </w:rPr>
      </w:pPr>
      <w:r>
        <w:rPr>
          <w:rFonts w:ascii="Times New Roman" w:hAnsi="Times New Roman" w:cs="Times New Roman"/>
          <w:bCs/>
          <w:lang w:val="zh-CN"/>
        </w:rPr>
        <w:t>合川区尹发家庭农场</w:t>
      </w:r>
      <w:r>
        <w:rPr>
          <w:rFonts w:hint="eastAsia" w:ascii="Times New Roman" w:hAnsi="Times New Roman" w:cs="Times New Roman"/>
          <w:bCs/>
          <w:lang w:val="zh-CN"/>
        </w:rPr>
        <w:t>巴渝土杂猪养殖项目</w:t>
      </w:r>
      <w:r>
        <w:rPr>
          <w:rFonts w:ascii="Times New Roman" w:hAnsi="Times New Roman" w:cs="Times New Roman"/>
          <w:bCs/>
          <w:szCs w:val="21"/>
        </w:rPr>
        <w:t>位于</w:t>
      </w:r>
      <w:r>
        <w:rPr>
          <w:rFonts w:hint="eastAsia" w:ascii="Times New Roman" w:hAnsi="Times New Roman" w:cs="Times New Roman"/>
          <w:bCs/>
        </w:rPr>
        <w:t>重庆市合川区钱塘镇凤寺村5社</w:t>
      </w:r>
      <w:r>
        <w:rPr>
          <w:rFonts w:ascii="Times New Roman" w:hAnsi="Times New Roman" w:cs="Times New Roman"/>
          <w:bCs/>
        </w:rPr>
        <w:t>，</w:t>
      </w:r>
      <w:r>
        <w:rPr>
          <w:rFonts w:ascii="Times New Roman" w:hAnsi="Times New Roman" w:cs="Times New Roman"/>
        </w:rPr>
        <w:t>其地理位置图见图3.1-1</w:t>
      </w:r>
      <w:r>
        <w:rPr>
          <w:rFonts w:ascii="Times New Roman" w:hAnsi="Times New Roman" w:cs="Times New Roman"/>
          <w:bCs/>
        </w:rPr>
        <w:t>。</w:t>
      </w:r>
    </w:p>
    <w:p>
      <w:pPr>
        <w:widowControl/>
        <w:jc w:val="left"/>
        <w:rPr>
          <w:rFonts w:ascii="Times New Roman" w:hAnsi="Times New Roman" w:cs="Times New Roman"/>
        </w:rPr>
      </w:pPr>
      <w:r>
        <w:drawing>
          <wp:inline distT="0" distB="0" distL="0" distR="0">
            <wp:extent cx="5278120" cy="3291205"/>
            <wp:effectExtent l="0" t="0" r="0" b="4445"/>
            <wp:docPr id="1668196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6172" name="图片 1"/>
                    <pic:cNvPicPr>
                      <a:picLocks noChangeAspect="1"/>
                    </pic:cNvPicPr>
                  </pic:nvPicPr>
                  <pic:blipFill>
                    <a:blip r:embed="rId9"/>
                    <a:stretch>
                      <a:fillRect/>
                    </a:stretch>
                  </pic:blipFill>
                  <pic:spPr>
                    <a:xfrm>
                      <a:off x="0" y="0"/>
                      <a:ext cx="5278120" cy="3291205"/>
                    </a:xfrm>
                    <a:prstGeom prst="rect">
                      <a:avLst/>
                    </a:prstGeom>
                  </pic:spPr>
                </pic:pic>
              </a:graphicData>
            </a:graphic>
          </wp:inline>
        </w:drawing>
      </w:r>
    </w:p>
    <w:p>
      <w:pPr>
        <w:jc w:val="center"/>
        <w:rPr>
          <w:rFonts w:ascii="Times New Roman" w:hAnsi="Times New Roman" w:eastAsia="宋体" w:cs="Times New Roman"/>
          <w:b/>
          <w:bCs/>
        </w:rPr>
      </w:pPr>
      <w:r>
        <w:rPr>
          <w:rFonts w:ascii="Times New Roman" w:hAnsi="Times New Roman" w:cs="Times New Roman"/>
          <w:b/>
          <w:bCs/>
        </w:rPr>
        <w:t>图3.1-1 项目地理位置图</w:t>
      </w:r>
    </w:p>
    <w:p>
      <w:pPr>
        <w:spacing w:line="360" w:lineRule="auto"/>
        <w:ind w:firstLine="480" w:firstLineChars="200"/>
        <w:rPr>
          <w:rFonts w:ascii="Times New Roman" w:hAnsi="Times New Roman" w:cs="Times New Roman"/>
        </w:rPr>
      </w:pPr>
      <w:r>
        <w:rPr>
          <w:rFonts w:ascii="Times New Roman" w:hAnsi="Times New Roman" w:cs="Times New Roman"/>
          <w:bCs/>
        </w:rPr>
        <w:t>项目中心位于106°17'57.1875",30°12'49.9229"</w:t>
      </w:r>
      <w:r>
        <w:rPr>
          <w:rFonts w:ascii="Times New Roman" w:hAnsi="Times New Roman" w:cs="Times New Roman"/>
        </w:rPr>
        <w:t>，</w:t>
      </w:r>
      <w:r>
        <w:rPr>
          <w:rFonts w:hint="eastAsia" w:ascii="Times New Roman" w:hAnsi="Times New Roman" w:cs="Times New Roman"/>
        </w:rPr>
        <w:t>周边多为荒地及分散的居民点。不涉及自然保护区、风景名胜区、水土流失重点防治区、森林公园、地质公园、世界遗产地、国家重点文物保护单位等敏感区域，不属于生态敏感与脆弱区。</w:t>
      </w:r>
    </w:p>
    <w:p>
      <w:pPr>
        <w:spacing w:line="360" w:lineRule="auto"/>
        <w:ind w:firstLine="480" w:firstLineChars="200"/>
        <w:rPr>
          <w:rFonts w:ascii="Times New Roman" w:hAnsi="Times New Roman" w:cs="Times New Roman"/>
          <w:b/>
          <w:bCs/>
        </w:rPr>
      </w:pPr>
      <w:r>
        <w:rPr>
          <w:rFonts w:hint="eastAsia" w:ascii="Times New Roman" w:hAnsi="Times New Roman" w:cs="Times New Roman"/>
        </w:rPr>
        <w:t>拟建项目呈不规则形状，总占地面积约为8000m</w:t>
      </w:r>
      <w:r>
        <w:rPr>
          <w:rFonts w:hint="eastAsia" w:ascii="Times New Roman" w:hAnsi="Times New Roman" w:cs="Times New Roman"/>
          <w:vertAlign w:val="superscript"/>
        </w:rPr>
        <w:t>2</w:t>
      </w:r>
      <w:r>
        <w:rPr>
          <w:rFonts w:hint="eastAsia" w:ascii="Times New Roman" w:hAnsi="Times New Roman" w:cs="Times New Roman"/>
        </w:rPr>
        <w:t>，东西最宽130米，南北最宽105米，拟建项目分为两个区域养殖区、治污区，西侧为养殖区，其中养殖区北侧为圈舍区域、南侧为辅助用房，自北向南依次分布为养殖大楼、妊娠舍、辅助用房，东侧布置为治污区，自北向南依次为应急事故池、储液池、猪粪暂存池、污水处理站、填埋井。</w:t>
      </w:r>
      <w:r>
        <w:rPr>
          <w:rFonts w:ascii="Times New Roman" w:hAnsi="Times New Roman" w:cs="Times New Roman"/>
        </w:rPr>
        <w:t>拟验收项目周边关系图见图3.1-2，项目平面布置图见</w:t>
      </w:r>
      <w:r>
        <w:rPr>
          <w:rFonts w:hint="eastAsia" w:ascii="Times New Roman" w:hAnsi="Times New Roman" w:cs="Times New Roman"/>
        </w:rPr>
        <w:t>附图3</w:t>
      </w:r>
      <w:r>
        <w:rPr>
          <w:rFonts w:ascii="Times New Roman" w:hAnsi="Times New Roman" w:cs="Times New Roman"/>
        </w:rPr>
        <w:t>。</w:t>
      </w:r>
    </w:p>
    <w:p>
      <w:pPr>
        <w:spacing w:line="360" w:lineRule="auto"/>
        <w:rPr>
          <w:rFonts w:ascii="Times New Roman" w:hAnsi="Times New Roman" w:cs="Times New Roman"/>
          <w:b/>
          <w:bCs/>
        </w:rPr>
      </w:pPr>
      <w:r>
        <w:drawing>
          <wp:inline distT="0" distB="0" distL="0" distR="0">
            <wp:extent cx="5278120" cy="4421505"/>
            <wp:effectExtent l="0" t="0" r="0" b="0"/>
            <wp:docPr id="1372390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90395" name="图片 1"/>
                    <pic:cNvPicPr>
                      <a:picLocks noChangeAspect="1"/>
                    </pic:cNvPicPr>
                  </pic:nvPicPr>
                  <pic:blipFill>
                    <a:blip r:embed="rId10"/>
                    <a:stretch>
                      <a:fillRect/>
                    </a:stretch>
                  </pic:blipFill>
                  <pic:spPr>
                    <a:xfrm>
                      <a:off x="0" y="0"/>
                      <a:ext cx="5278120" cy="4421505"/>
                    </a:xfrm>
                    <a:prstGeom prst="rect">
                      <a:avLst/>
                    </a:prstGeom>
                  </pic:spPr>
                </pic:pic>
              </a:graphicData>
            </a:graphic>
          </wp:inline>
        </w:drawing>
      </w:r>
    </w:p>
    <w:p>
      <w:pPr>
        <w:autoSpaceDE w:val="0"/>
        <w:autoSpaceDN w:val="0"/>
        <w:ind w:firstLine="482" w:firstLineChars="200"/>
        <w:jc w:val="center"/>
        <w:rPr>
          <w:rFonts w:ascii="Times New Roman" w:hAnsi="Times New Roman" w:cs="Times New Roman"/>
          <w:b/>
          <w:bCs/>
        </w:rPr>
      </w:pPr>
      <w:r>
        <w:rPr>
          <w:rFonts w:ascii="Times New Roman" w:hAnsi="Times New Roman" w:eastAsia="宋体" w:cs="Times New Roman"/>
          <w:b/>
          <w:bCs/>
        </w:rPr>
        <w:t>图3.1-2 项目四邻关系图</w:t>
      </w:r>
    </w:p>
    <w:p>
      <w:pPr>
        <w:pStyle w:val="3"/>
        <w:rPr>
          <w:rFonts w:cs="Times New Roman"/>
          <w:szCs w:val="32"/>
        </w:rPr>
      </w:pPr>
      <w:bookmarkStart w:id="54" w:name="_Toc497987771"/>
      <w:bookmarkStart w:id="55" w:name="_Toc102039291"/>
      <w:bookmarkStart w:id="56" w:name="_Toc497988052"/>
      <w:bookmarkStart w:id="57" w:name="_Toc497987609"/>
      <w:bookmarkStart w:id="58" w:name="_Toc27115"/>
      <w:bookmarkStart w:id="59" w:name="_Toc497925999"/>
      <w:bookmarkStart w:id="60" w:name="_Toc410"/>
      <w:r>
        <w:rPr>
          <w:rFonts w:cs="Times New Roman"/>
          <w:szCs w:val="32"/>
        </w:rPr>
        <w:t>3.2建设内容</w:t>
      </w:r>
      <w:bookmarkEnd w:id="54"/>
      <w:bookmarkEnd w:id="55"/>
      <w:bookmarkEnd w:id="56"/>
      <w:bookmarkEnd w:id="57"/>
      <w:bookmarkEnd w:id="58"/>
      <w:bookmarkEnd w:id="59"/>
      <w:bookmarkEnd w:id="60"/>
    </w:p>
    <w:p>
      <w:pPr>
        <w:pStyle w:val="4"/>
        <w:rPr>
          <w:rFonts w:cs="Times New Roman"/>
        </w:rPr>
      </w:pPr>
      <w:r>
        <w:rPr>
          <w:rFonts w:cs="Times New Roman"/>
        </w:rPr>
        <w:t>3.2.1 项目</w:t>
      </w:r>
      <w:r>
        <w:rPr>
          <w:rFonts w:hint="eastAsia" w:cs="Times New Roman"/>
        </w:rPr>
        <w:t>建设过程</w:t>
      </w:r>
    </w:p>
    <w:p>
      <w:pPr>
        <w:spacing w:line="360" w:lineRule="auto"/>
        <w:ind w:firstLine="480" w:firstLineChars="200"/>
        <w:rPr>
          <w:rFonts w:ascii="Times New Roman" w:hAnsi="Times New Roman" w:cs="Times New Roman"/>
        </w:rPr>
      </w:pPr>
      <w:r>
        <w:rPr>
          <w:rFonts w:ascii="Times New Roman" w:hAnsi="Times New Roman" w:cs="Times New Roman"/>
        </w:rPr>
        <w:t>2020年6月，合川区尹发家庭农场拟在合川区钱塘镇凤寺村5社投资建设年出栏生猪4000头的生猪养殖项目，企业于2020年6月16日完成了该项目的环境影响登记表备案（备案号：202050011700000182）。该项目于2020年10月开工建设，因公司的发展和市场需求调整，项目在建设过程中建设内容发生调整；</w:t>
      </w:r>
    </w:p>
    <w:p>
      <w:pPr>
        <w:spacing w:line="360" w:lineRule="auto"/>
        <w:ind w:firstLine="480" w:firstLineChars="200"/>
        <w:rPr>
          <w:rFonts w:ascii="Times New Roman" w:hAnsi="Times New Roman" w:cs="Times New Roman"/>
        </w:rPr>
      </w:pPr>
      <w:r>
        <w:rPr>
          <w:rFonts w:ascii="Times New Roman" w:hAnsi="Times New Roman" w:cs="Times New Roman"/>
        </w:rPr>
        <w:t>2021年11月，重庆华地资环科技有限公司编制完成了《合川区尹发家庭农场巴渝土杂猪养殖项目环境影响报告书》，并取得了重庆市合川区生态环境局下发的《重庆市建设项目环境影响评价文件批准书》（渝（合）环准〔2021〕114号）；</w:t>
      </w:r>
    </w:p>
    <w:p>
      <w:pPr>
        <w:spacing w:line="360" w:lineRule="auto"/>
        <w:ind w:firstLine="480" w:firstLineChars="200"/>
        <w:rPr>
          <w:rFonts w:ascii="Times New Roman" w:hAnsi="Times New Roman" w:cs="Times New Roman"/>
        </w:rPr>
      </w:pPr>
      <w:r>
        <w:rPr>
          <w:rFonts w:ascii="Times New Roman" w:hAnsi="Times New Roman" w:cs="Times New Roman"/>
        </w:rPr>
        <w:t>2022年3月16日，企业取得了《固定污染源排污登记回执》（登记编号：92500117MA60WE9U3A001Z）。</w:t>
      </w:r>
    </w:p>
    <w:p>
      <w:pPr>
        <w:spacing w:line="360" w:lineRule="auto"/>
        <w:ind w:firstLine="480" w:firstLineChars="200"/>
        <w:rPr>
          <w:rFonts w:ascii="Times New Roman" w:hAnsi="Times New Roman" w:cs="Times New Roman"/>
        </w:rPr>
      </w:pPr>
      <w:r>
        <w:rPr>
          <w:rFonts w:ascii="Times New Roman" w:hAnsi="Times New Roman" w:cs="Times New Roman"/>
        </w:rPr>
        <w:t>2020年6月，原项目开工建设，因建设内容发生了变动，2021年11月重新编制环评后并取得批复</w:t>
      </w:r>
      <w:r>
        <w:rPr>
          <w:rFonts w:hint="eastAsia" w:ascii="Times New Roman" w:hAnsi="Times New Roman" w:cs="Times New Roman"/>
        </w:rPr>
        <w:t>并重新开工建设</w:t>
      </w:r>
      <w:r>
        <w:rPr>
          <w:rFonts w:ascii="Times New Roman" w:hAnsi="Times New Roman" w:cs="Times New Roman"/>
        </w:rPr>
        <w:t>。2022年3月，项目建设完成进入设备调试阶段。</w:t>
      </w:r>
    </w:p>
    <w:p>
      <w:pPr>
        <w:spacing w:line="360" w:lineRule="auto"/>
        <w:ind w:firstLine="480" w:firstLineChars="200"/>
        <w:rPr>
          <w:rFonts w:ascii="Times New Roman" w:hAnsi="Times New Roman" w:cs="Times New Roman"/>
        </w:rPr>
      </w:pPr>
      <w:r>
        <w:rPr>
          <w:rFonts w:ascii="Times New Roman" w:hAnsi="Times New Roman" w:cs="Times New Roman"/>
        </w:rPr>
        <w:t>项目从建设至调试过程中无环境问题投诉，违法及处罚记录等。</w:t>
      </w:r>
    </w:p>
    <w:p>
      <w:pPr>
        <w:pStyle w:val="4"/>
        <w:rPr>
          <w:rFonts w:cs="Times New Roman"/>
        </w:rPr>
      </w:pPr>
      <w:r>
        <w:rPr>
          <w:rFonts w:cs="Times New Roman"/>
        </w:rPr>
        <w:t>3.2.2 验收项目概况</w:t>
      </w:r>
    </w:p>
    <w:p>
      <w:pPr>
        <w:tabs>
          <w:tab w:val="left" w:pos="3675"/>
        </w:tabs>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项 目 名 称 ：</w:t>
      </w:r>
      <w:r>
        <w:rPr>
          <w:rFonts w:ascii="Times New Roman" w:hAnsi="Times New Roman" w:cs="Times New Roman"/>
          <w:lang w:val="zh-CN"/>
        </w:rPr>
        <w:t>合川区尹发家庭农场巴渝土杂猪养殖项目</w:t>
      </w:r>
    </w:p>
    <w:p>
      <w:pPr>
        <w:tabs>
          <w:tab w:val="left" w:pos="3675"/>
        </w:tabs>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建 设 性 质 ：</w:t>
      </w:r>
      <w:r>
        <w:rPr>
          <w:rFonts w:hint="eastAsia" w:ascii="Times New Roman" w:hAnsi="Times New Roman" w:cs="Times New Roman"/>
        </w:rPr>
        <w:t>新建</w:t>
      </w:r>
    </w:p>
    <w:p>
      <w:pPr>
        <w:tabs>
          <w:tab w:val="left" w:pos="3675"/>
        </w:tabs>
        <w:adjustRightInd w:val="0"/>
        <w:snapToGrid w:val="0"/>
        <w:spacing w:line="360" w:lineRule="auto"/>
        <w:ind w:firstLine="480" w:firstLineChars="200"/>
        <w:rPr>
          <w:rFonts w:ascii="Times New Roman" w:hAnsi="Times New Roman" w:eastAsia="宋体" w:cs="Times New Roman"/>
        </w:rPr>
      </w:pPr>
      <w:r>
        <w:rPr>
          <w:rFonts w:ascii="Times New Roman" w:hAnsi="Times New Roman" w:cs="Times New Roman"/>
        </w:rPr>
        <w:t>项目设计规模：项目</w:t>
      </w:r>
      <w:r>
        <w:rPr>
          <w:rFonts w:hint="eastAsia" w:ascii="Times New Roman" w:hAnsi="Times New Roman" w:cs="Times New Roman"/>
        </w:rPr>
        <w:t>位于重庆市合川区钱塘镇凤寺村5社，</w:t>
      </w:r>
      <w:r>
        <w:rPr>
          <w:rFonts w:ascii="Times New Roman" w:hAnsi="Times New Roman" w:eastAsia="宋体" w:cs="Times New Roman"/>
          <w:color w:val="000000"/>
          <w:kern w:val="0"/>
        </w:rPr>
        <w:t>总占地面积</w:t>
      </w:r>
      <w:r>
        <w:rPr>
          <w:rFonts w:hint="eastAsia" w:ascii="Times New Roman" w:hAnsi="Times New Roman" w:eastAsia="宋体" w:cs="Times New Roman"/>
          <w:color w:val="000000"/>
          <w:kern w:val="0"/>
        </w:rPr>
        <w:t>8000m</w:t>
      </w:r>
      <w:r>
        <w:rPr>
          <w:rFonts w:hint="eastAsia"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，总建筑面积约</w:t>
      </w:r>
      <w:r>
        <w:rPr>
          <w:rFonts w:hint="eastAsia" w:ascii="Times New Roman" w:hAnsi="Times New Roman" w:eastAsia="宋体" w:cs="Times New Roman"/>
        </w:rPr>
        <w:t>12210</w:t>
      </w:r>
      <w:r>
        <w:rPr>
          <w:rFonts w:ascii="Times New Roman" w:hAnsi="Times New Roman" w:eastAsia="宋体" w:cs="Times New Roman"/>
          <w:color w:val="000000"/>
          <w:kern w:val="0"/>
        </w:rPr>
        <w:t>m</w:t>
      </w:r>
      <w:r>
        <w:rPr>
          <w:rFonts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w:t>
      </w:r>
      <w:r>
        <w:rPr>
          <w:rFonts w:ascii="Times New Roman" w:hAnsi="Times New Roman" w:eastAsia="宋体" w:cs="Times New Roman"/>
          <w:color w:val="000000"/>
          <w:kern w:val="0"/>
          <w:szCs w:val="22"/>
        </w:rPr>
        <w:t>由主体工程、辅助工程、公用工程和环保工程组成。主体工程为各养殖猪舍，包括母猪舍、</w:t>
      </w:r>
      <w:r>
        <w:rPr>
          <w:rFonts w:hint="eastAsia" w:ascii="Times New Roman" w:hAnsi="Times New Roman" w:eastAsia="宋体" w:cs="Times New Roman"/>
          <w:color w:val="000000"/>
          <w:kern w:val="0"/>
          <w:szCs w:val="22"/>
        </w:rPr>
        <w:t>养殖大楼（内设分娩舍</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保育舍</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育肥</w:t>
      </w:r>
      <w:r>
        <w:rPr>
          <w:rFonts w:ascii="Times New Roman" w:hAnsi="Times New Roman" w:eastAsia="宋体" w:cs="Times New Roman"/>
          <w:color w:val="000000"/>
          <w:kern w:val="0"/>
          <w:szCs w:val="22"/>
        </w:rPr>
        <w:t>舍</w:t>
      </w:r>
      <w:r>
        <w:rPr>
          <w:rFonts w:hint="eastAsia" w:ascii="Times New Roman" w:hAnsi="Times New Roman" w:eastAsia="宋体" w:cs="Times New Roman"/>
          <w:color w:val="000000"/>
          <w:kern w:val="0"/>
          <w:szCs w:val="22"/>
        </w:rPr>
        <w:t>）</w:t>
      </w:r>
      <w:r>
        <w:rPr>
          <w:rFonts w:ascii="Times New Roman" w:hAnsi="Times New Roman" w:eastAsia="宋体" w:cs="Times New Roman"/>
          <w:color w:val="000000"/>
          <w:kern w:val="0"/>
          <w:szCs w:val="22"/>
        </w:rPr>
        <w:t>等；辅助工程养殖区办公室</w:t>
      </w:r>
      <w:r>
        <w:rPr>
          <w:rFonts w:hint="eastAsia" w:ascii="Times New Roman" w:hAnsi="Times New Roman" w:eastAsia="宋体" w:cs="Times New Roman"/>
          <w:color w:val="000000"/>
          <w:kern w:val="0"/>
          <w:szCs w:val="22"/>
        </w:rPr>
        <w:t>、值班室、设备间</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检验检疫区</w:t>
      </w:r>
      <w:r>
        <w:rPr>
          <w:rFonts w:ascii="Times New Roman" w:hAnsi="Times New Roman" w:eastAsia="宋体" w:cs="Times New Roman"/>
          <w:color w:val="000000"/>
          <w:kern w:val="0"/>
          <w:szCs w:val="22"/>
        </w:rPr>
        <w:t>等；环保工程包括污水处理系统、废水还田系统、沼气净化系统等。</w:t>
      </w:r>
      <w:r>
        <w:rPr>
          <w:rFonts w:ascii="Times New Roman" w:hAnsi="Times New Roman" w:eastAsia="宋体" w:cs="Times New Roman"/>
          <w:kern w:val="0"/>
        </w:rPr>
        <w:t>项目建成后常年存栏母猪860头，</w:t>
      </w:r>
      <w:r>
        <w:rPr>
          <w:rFonts w:hint="eastAsia" w:ascii="Times New Roman" w:hAnsi="Times New Roman" w:eastAsia="宋体" w:cs="Times New Roman"/>
          <w:kern w:val="0"/>
        </w:rPr>
        <w:t>达产年繁育仔猪17079头/年，</w:t>
      </w:r>
      <w:r>
        <w:rPr>
          <w:rFonts w:ascii="Times New Roman" w:hAnsi="Times New Roman" w:eastAsia="宋体" w:cs="Times New Roman"/>
          <w:kern w:val="0"/>
        </w:rPr>
        <w:t>其中</w:t>
      </w:r>
      <w:r>
        <w:rPr>
          <w:rFonts w:hint="eastAsia" w:ascii="Times New Roman" w:hAnsi="Times New Roman" w:eastAsia="宋体" w:cs="Times New Roman"/>
          <w:kern w:val="0"/>
        </w:rPr>
        <w:t>3</w:t>
      </w:r>
      <w:r>
        <w:rPr>
          <w:rFonts w:ascii="Times New Roman" w:hAnsi="Times New Roman" w:eastAsia="宋体" w:cs="Times New Roman"/>
          <w:kern w:val="0"/>
        </w:rPr>
        <w:t>0%仔猪外售，</w:t>
      </w:r>
      <w:r>
        <w:rPr>
          <w:rFonts w:hint="eastAsia" w:ascii="Times New Roman" w:hAnsi="Times New Roman" w:eastAsia="宋体" w:cs="Times New Roman"/>
          <w:kern w:val="0"/>
        </w:rPr>
        <w:t>7</w:t>
      </w:r>
      <w:r>
        <w:rPr>
          <w:rFonts w:ascii="Times New Roman" w:hAnsi="Times New Roman" w:eastAsia="宋体" w:cs="Times New Roman"/>
          <w:kern w:val="0"/>
        </w:rPr>
        <w:t>0%仔猪采取自繁自养模式，商品肉猪采取保育育肥一体化养殖模式，年出栏商品肉猪</w:t>
      </w:r>
      <w:r>
        <w:rPr>
          <w:rFonts w:hint="eastAsia" w:ascii="Times New Roman" w:hAnsi="Times New Roman" w:eastAsia="宋体" w:cs="Times New Roman"/>
          <w:kern w:val="0"/>
        </w:rPr>
        <w:t>1.2</w:t>
      </w:r>
      <w:r>
        <w:rPr>
          <w:rFonts w:ascii="Times New Roman" w:hAnsi="Times New Roman" w:eastAsia="宋体" w:cs="Times New Roman"/>
          <w:kern w:val="0"/>
        </w:rPr>
        <w:t>万头</w:t>
      </w:r>
      <w:r>
        <w:rPr>
          <w:rFonts w:hint="eastAsia" w:ascii="Times New Roman" w:hAnsi="Times New Roman" w:eastAsia="宋体" w:cs="Times New Roman"/>
          <w:kern w:val="0"/>
        </w:rPr>
        <w:t>，出栏保育仔猪5124头。</w:t>
      </w:r>
    </w:p>
    <w:p>
      <w:pPr>
        <w:tabs>
          <w:tab w:val="left" w:pos="3675"/>
        </w:tabs>
        <w:adjustRightInd w:val="0"/>
        <w:snapToGrid w:val="0"/>
        <w:spacing w:line="360" w:lineRule="auto"/>
        <w:ind w:firstLine="480" w:firstLineChars="200"/>
        <w:rPr>
          <w:rFonts w:ascii="Times New Roman" w:hAnsi="Times New Roman" w:eastAsia="宋体" w:cs="Times New Roman"/>
        </w:rPr>
      </w:pPr>
      <w:r>
        <w:rPr>
          <w:rFonts w:ascii="Times New Roman" w:hAnsi="Times New Roman" w:cs="Times New Roman"/>
        </w:rPr>
        <w:t>项目实际规模：项目</w:t>
      </w:r>
      <w:r>
        <w:rPr>
          <w:rFonts w:hint="eastAsia" w:ascii="Times New Roman" w:hAnsi="Times New Roman" w:cs="Times New Roman"/>
        </w:rPr>
        <w:t>位于重庆市合川区钱塘镇凤寺村5社，</w:t>
      </w:r>
      <w:r>
        <w:rPr>
          <w:rFonts w:ascii="Times New Roman" w:hAnsi="Times New Roman" w:eastAsia="宋体" w:cs="Times New Roman"/>
          <w:color w:val="000000"/>
          <w:kern w:val="0"/>
        </w:rPr>
        <w:t>总占地面积</w:t>
      </w:r>
      <w:r>
        <w:rPr>
          <w:rFonts w:hint="eastAsia" w:ascii="Times New Roman" w:hAnsi="Times New Roman" w:eastAsia="宋体" w:cs="Times New Roman"/>
          <w:color w:val="000000"/>
          <w:kern w:val="0"/>
        </w:rPr>
        <w:t>8000m</w:t>
      </w:r>
      <w:r>
        <w:rPr>
          <w:rFonts w:hint="eastAsia"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，总建筑面积约</w:t>
      </w:r>
      <w:r>
        <w:rPr>
          <w:rFonts w:hint="eastAsia" w:ascii="Times New Roman" w:hAnsi="Times New Roman" w:eastAsia="宋体" w:cs="Times New Roman"/>
        </w:rPr>
        <w:t>12210</w:t>
      </w:r>
      <w:r>
        <w:rPr>
          <w:rFonts w:ascii="Times New Roman" w:hAnsi="Times New Roman" w:eastAsia="宋体" w:cs="Times New Roman"/>
          <w:color w:val="000000"/>
          <w:kern w:val="0"/>
        </w:rPr>
        <w:t>m</w:t>
      </w:r>
      <w:r>
        <w:rPr>
          <w:rFonts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w:t>
      </w:r>
      <w:r>
        <w:rPr>
          <w:rFonts w:ascii="Times New Roman" w:hAnsi="Times New Roman" w:eastAsia="宋体" w:cs="Times New Roman"/>
          <w:color w:val="000000"/>
          <w:kern w:val="0"/>
          <w:szCs w:val="22"/>
        </w:rPr>
        <w:t>由主体工程、辅助工程、公用工程和环保工程组成。主体工程为各养殖猪舍，包括母猪舍、</w:t>
      </w:r>
      <w:r>
        <w:rPr>
          <w:rFonts w:hint="eastAsia" w:ascii="Times New Roman" w:hAnsi="Times New Roman" w:eastAsia="宋体" w:cs="Times New Roman"/>
          <w:color w:val="000000"/>
          <w:kern w:val="0"/>
          <w:szCs w:val="22"/>
        </w:rPr>
        <w:t>养殖大楼（内设分娩舍</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保育舍</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育肥</w:t>
      </w:r>
      <w:r>
        <w:rPr>
          <w:rFonts w:ascii="Times New Roman" w:hAnsi="Times New Roman" w:eastAsia="宋体" w:cs="Times New Roman"/>
          <w:color w:val="000000"/>
          <w:kern w:val="0"/>
          <w:szCs w:val="22"/>
        </w:rPr>
        <w:t>舍</w:t>
      </w:r>
      <w:r>
        <w:rPr>
          <w:rFonts w:hint="eastAsia" w:ascii="Times New Roman" w:hAnsi="Times New Roman" w:eastAsia="宋体" w:cs="Times New Roman"/>
          <w:color w:val="000000"/>
          <w:kern w:val="0"/>
          <w:szCs w:val="22"/>
        </w:rPr>
        <w:t>）</w:t>
      </w:r>
      <w:r>
        <w:rPr>
          <w:rFonts w:ascii="Times New Roman" w:hAnsi="Times New Roman" w:eastAsia="宋体" w:cs="Times New Roman"/>
          <w:color w:val="000000"/>
          <w:kern w:val="0"/>
          <w:szCs w:val="22"/>
        </w:rPr>
        <w:t>等；辅助工程养殖区办公室</w:t>
      </w:r>
      <w:r>
        <w:rPr>
          <w:rFonts w:hint="eastAsia" w:ascii="Times New Roman" w:hAnsi="Times New Roman" w:eastAsia="宋体" w:cs="Times New Roman"/>
          <w:color w:val="000000"/>
          <w:kern w:val="0"/>
          <w:szCs w:val="22"/>
        </w:rPr>
        <w:t>、值班室、设备间</w:t>
      </w:r>
      <w:r>
        <w:rPr>
          <w:rFonts w:ascii="Times New Roman" w:hAnsi="Times New Roman" w:eastAsia="宋体" w:cs="Times New Roman"/>
          <w:color w:val="000000"/>
          <w:kern w:val="0"/>
          <w:szCs w:val="22"/>
        </w:rPr>
        <w:t>、</w:t>
      </w:r>
      <w:r>
        <w:rPr>
          <w:rFonts w:hint="eastAsia" w:ascii="Times New Roman" w:hAnsi="Times New Roman" w:eastAsia="宋体" w:cs="Times New Roman"/>
          <w:color w:val="000000"/>
          <w:kern w:val="0"/>
          <w:szCs w:val="22"/>
        </w:rPr>
        <w:t>检验检疫区</w:t>
      </w:r>
      <w:r>
        <w:rPr>
          <w:rFonts w:ascii="Times New Roman" w:hAnsi="Times New Roman" w:eastAsia="宋体" w:cs="Times New Roman"/>
          <w:color w:val="000000"/>
          <w:kern w:val="0"/>
          <w:szCs w:val="22"/>
        </w:rPr>
        <w:t>等；环保工程包括污水处理系统、废水还田系统、沼气净化系统等。</w:t>
      </w:r>
      <w:r>
        <w:rPr>
          <w:rFonts w:ascii="Times New Roman" w:hAnsi="Times New Roman" w:eastAsia="宋体" w:cs="Times New Roman"/>
          <w:kern w:val="0"/>
        </w:rPr>
        <w:t>项目建成后常年存栏母猪860头，</w:t>
      </w:r>
      <w:r>
        <w:rPr>
          <w:rFonts w:hint="eastAsia" w:ascii="Times New Roman" w:hAnsi="Times New Roman" w:eastAsia="宋体" w:cs="Times New Roman"/>
          <w:kern w:val="0"/>
        </w:rPr>
        <w:t>达产年繁育仔猪17079头/年，</w:t>
      </w:r>
      <w:r>
        <w:rPr>
          <w:rFonts w:ascii="Times New Roman" w:hAnsi="Times New Roman" w:eastAsia="宋体" w:cs="Times New Roman"/>
          <w:kern w:val="0"/>
        </w:rPr>
        <w:t>其中</w:t>
      </w:r>
      <w:r>
        <w:rPr>
          <w:rFonts w:hint="eastAsia" w:ascii="Times New Roman" w:hAnsi="Times New Roman" w:eastAsia="宋体" w:cs="Times New Roman"/>
          <w:kern w:val="0"/>
        </w:rPr>
        <w:t>3</w:t>
      </w:r>
      <w:r>
        <w:rPr>
          <w:rFonts w:ascii="Times New Roman" w:hAnsi="Times New Roman" w:eastAsia="宋体" w:cs="Times New Roman"/>
          <w:kern w:val="0"/>
        </w:rPr>
        <w:t>0%仔猪外售，</w:t>
      </w:r>
      <w:r>
        <w:rPr>
          <w:rFonts w:hint="eastAsia" w:ascii="Times New Roman" w:hAnsi="Times New Roman" w:eastAsia="宋体" w:cs="Times New Roman"/>
          <w:kern w:val="0"/>
        </w:rPr>
        <w:t>7</w:t>
      </w:r>
      <w:r>
        <w:rPr>
          <w:rFonts w:ascii="Times New Roman" w:hAnsi="Times New Roman" w:eastAsia="宋体" w:cs="Times New Roman"/>
          <w:kern w:val="0"/>
        </w:rPr>
        <w:t>0%仔猪采取自繁自养模式，商品肉猪采取保育育肥一体化养殖模式，年出栏商品肉猪</w:t>
      </w:r>
      <w:r>
        <w:rPr>
          <w:rFonts w:hint="eastAsia" w:ascii="Times New Roman" w:hAnsi="Times New Roman" w:eastAsia="宋体" w:cs="Times New Roman"/>
          <w:kern w:val="0"/>
        </w:rPr>
        <w:t>1.2</w:t>
      </w:r>
      <w:r>
        <w:rPr>
          <w:rFonts w:ascii="Times New Roman" w:hAnsi="Times New Roman" w:eastAsia="宋体" w:cs="Times New Roman"/>
          <w:kern w:val="0"/>
        </w:rPr>
        <w:t>万头</w:t>
      </w:r>
      <w:r>
        <w:rPr>
          <w:rFonts w:hint="eastAsia" w:ascii="Times New Roman" w:hAnsi="Times New Roman" w:eastAsia="宋体" w:cs="Times New Roman"/>
          <w:kern w:val="0"/>
        </w:rPr>
        <w:t>，出栏保育仔猪5124头。</w:t>
      </w:r>
    </w:p>
    <w:p>
      <w:pPr>
        <w:adjustRightInd w:val="0"/>
        <w:snapToGrid w:val="0"/>
        <w:spacing w:line="360" w:lineRule="auto"/>
        <w:ind w:firstLine="480" w:firstLineChars="200"/>
        <w:rPr>
          <w:rFonts w:ascii="Times New Roman" w:hAnsi="Times New Roman" w:cs="Times New Roman"/>
          <w:bCs/>
          <w:szCs w:val="21"/>
        </w:rPr>
      </w:pPr>
      <w:r>
        <w:rPr>
          <w:rFonts w:ascii="Times New Roman" w:hAnsi="Times New Roman" w:cs="Times New Roman"/>
          <w:bCs/>
        </w:rPr>
        <w:t>实际建设内容及规模</w:t>
      </w:r>
      <w:r>
        <w:rPr>
          <w:rFonts w:hint="eastAsia" w:ascii="Times New Roman" w:hAnsi="Times New Roman" w:cs="Times New Roman"/>
          <w:bCs/>
        </w:rPr>
        <w:t>与环评一致，</w:t>
      </w:r>
      <w:r>
        <w:rPr>
          <w:rFonts w:ascii="Times New Roman" w:hAnsi="Times New Roman" w:cs="Times New Roman"/>
          <w:bCs/>
          <w:szCs w:val="21"/>
        </w:rPr>
        <w:t>环评及批复阶段建设内容与实际建设内容对照情况见表</w:t>
      </w:r>
      <w:r>
        <w:rPr>
          <w:rFonts w:hint="eastAsia" w:ascii="Times New Roman" w:hAnsi="Times New Roman" w:cs="Times New Roman"/>
          <w:bCs/>
          <w:szCs w:val="21"/>
        </w:rPr>
        <w:t>3</w:t>
      </w:r>
      <w:r>
        <w:rPr>
          <w:rFonts w:ascii="Times New Roman" w:hAnsi="Times New Roman" w:cs="Times New Roman"/>
          <w:bCs/>
          <w:szCs w:val="21"/>
        </w:rPr>
        <w:t>.2-1</w:t>
      </w:r>
      <w:r>
        <w:rPr>
          <w:rFonts w:hint="eastAsia" w:ascii="Times New Roman" w:hAnsi="Times New Roman" w:cs="Times New Roman"/>
          <w:bCs/>
          <w:szCs w:val="21"/>
        </w:rPr>
        <w:t>。</w:t>
      </w:r>
    </w:p>
    <w:p>
      <w:pPr>
        <w:adjustRightInd w:val="0"/>
        <w:snapToGrid w:val="0"/>
        <w:spacing w:before="100" w:after="100" w:line="360" w:lineRule="auto"/>
        <w:ind w:firstLine="482" w:firstLineChars="200"/>
        <w:jc w:val="center"/>
        <w:rPr>
          <w:rFonts w:ascii="Times New Roman" w:hAnsi="Times New Roman" w:cs="Times New Roman"/>
          <w:b/>
          <w:szCs w:val="21"/>
        </w:rPr>
      </w:pPr>
      <w:r>
        <w:rPr>
          <w:rFonts w:ascii="Times New Roman" w:hAnsi="Times New Roman" w:cs="Times New Roman"/>
          <w:b/>
          <w:szCs w:val="21"/>
        </w:rPr>
        <w:br w:type="page"/>
      </w:r>
    </w:p>
    <w:p>
      <w:pPr>
        <w:adjustRightInd w:val="0"/>
        <w:snapToGrid w:val="0"/>
        <w:spacing w:before="100" w:after="100" w:line="360" w:lineRule="auto"/>
        <w:ind w:firstLine="482" w:firstLineChars="200"/>
        <w:jc w:val="center"/>
        <w:rPr>
          <w:rFonts w:ascii="Times New Roman" w:hAnsi="Times New Roman" w:cs="Times New Roman"/>
          <w:b/>
          <w:szCs w:val="21"/>
        </w:rPr>
      </w:pPr>
      <w:r>
        <w:rPr>
          <w:rFonts w:hint="eastAsia" w:ascii="Times New Roman" w:hAnsi="Times New Roman" w:cs="Times New Roman"/>
          <w:b/>
          <w:szCs w:val="21"/>
        </w:rPr>
        <w:t>表3</w:t>
      </w:r>
      <w:r>
        <w:rPr>
          <w:rFonts w:ascii="Times New Roman" w:hAnsi="Times New Roman" w:cs="Times New Roman"/>
          <w:b/>
          <w:szCs w:val="21"/>
        </w:rPr>
        <w:t xml:space="preserve">.2-1 </w:t>
      </w:r>
      <w:r>
        <w:rPr>
          <w:rFonts w:hint="eastAsia" w:ascii="Times New Roman" w:hAnsi="Times New Roman" w:cs="Times New Roman"/>
          <w:b/>
          <w:szCs w:val="21"/>
        </w:rPr>
        <w:t>验收项目建设内容一览表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623"/>
        <w:gridCol w:w="502"/>
        <w:gridCol w:w="705"/>
        <w:gridCol w:w="496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bookmarkStart w:id="61" w:name="_Hlk59799889"/>
            <w:r>
              <w:rPr>
                <w:rFonts w:ascii="Times New Roman" w:hAnsi="Times New Roman" w:eastAsia="宋体" w:cs="Times New Roman"/>
                <w:sz w:val="21"/>
              </w:rPr>
              <w:t>序号</w:t>
            </w:r>
          </w:p>
        </w:tc>
        <w:tc>
          <w:tcPr>
            <w:tcW w:w="623"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项目组成</w:t>
            </w: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项目名称</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bCs/>
                <w:sz w:val="21"/>
              </w:rPr>
            </w:pPr>
            <w:r>
              <w:rPr>
                <w:rFonts w:hint="eastAsia" w:ascii="Times New Roman" w:hAnsi="Times New Roman" w:eastAsia="宋体" w:cs="Times New Roman"/>
                <w:sz w:val="21"/>
              </w:rPr>
              <w:t>环评阶段建设内容及规模</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验收阶段建设内容及规模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1</w:t>
            </w:r>
          </w:p>
        </w:tc>
        <w:tc>
          <w:tcPr>
            <w:tcW w:w="623"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主体工程</w:t>
            </w: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妊娠舍</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位于厂区中南部，共</w:t>
            </w:r>
            <w:r>
              <w:rPr>
                <w:rFonts w:hint="eastAsia"/>
                <w:sz w:val="21"/>
                <w:szCs w:val="21"/>
              </w:rPr>
              <w:t>2</w:t>
            </w:r>
            <w:r>
              <w:rPr>
                <w:sz w:val="21"/>
                <w:szCs w:val="21"/>
              </w:rPr>
              <w:t>栋，一层，钢混结构，</w:t>
            </w:r>
            <w:r>
              <w:rPr>
                <w:rFonts w:hint="eastAsia"/>
                <w:sz w:val="21"/>
                <w:szCs w:val="21"/>
              </w:rPr>
              <w:t>总</w:t>
            </w:r>
            <w:r>
              <w:rPr>
                <w:sz w:val="21"/>
                <w:szCs w:val="21"/>
              </w:rPr>
              <w:t>建筑面</w:t>
            </w:r>
            <w:r>
              <w:rPr>
                <w:rFonts w:hint="eastAsia"/>
                <w:sz w:val="21"/>
                <w:szCs w:val="21"/>
              </w:rPr>
              <w:t>2200</w:t>
            </w:r>
            <w:r>
              <w:rPr>
                <w:sz w:val="21"/>
                <w:szCs w:val="21"/>
              </w:rPr>
              <w:t>m</w:t>
            </w:r>
            <w:r>
              <w:rPr>
                <w:sz w:val="21"/>
                <w:szCs w:val="21"/>
                <w:vertAlign w:val="superscript"/>
              </w:rPr>
              <w:t>2</w:t>
            </w:r>
            <w:r>
              <w:rPr>
                <w:sz w:val="21"/>
                <w:szCs w:val="21"/>
              </w:rPr>
              <w:t>，</w:t>
            </w:r>
            <w:r>
              <w:rPr>
                <w:rFonts w:hint="eastAsia"/>
                <w:sz w:val="21"/>
                <w:szCs w:val="21"/>
              </w:rPr>
              <w:t>内布置后备舍、空怀配种舍、妊娠舍。</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502"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养殖大楼</w:t>
            </w: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分娩舍</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位于养殖大楼一层</w:t>
            </w:r>
            <w:r>
              <w:rPr>
                <w:rFonts w:hint="eastAsia"/>
                <w:sz w:val="21"/>
                <w:szCs w:val="21"/>
              </w:rPr>
              <w:t>东侧</w:t>
            </w:r>
            <w:r>
              <w:rPr>
                <w:sz w:val="21"/>
                <w:szCs w:val="21"/>
              </w:rPr>
              <w:t>，建筑面积</w:t>
            </w:r>
            <w:r>
              <w:rPr>
                <w:rFonts w:hint="eastAsia"/>
                <w:sz w:val="21"/>
                <w:szCs w:val="21"/>
              </w:rPr>
              <w:t>820</w:t>
            </w:r>
            <w:r>
              <w:rPr>
                <w:sz w:val="21"/>
                <w:szCs w:val="21"/>
              </w:rPr>
              <w:t>m</w:t>
            </w:r>
            <w:r>
              <w:rPr>
                <w:sz w:val="21"/>
                <w:szCs w:val="21"/>
                <w:vertAlign w:val="superscript"/>
              </w:rPr>
              <w:t>2</w:t>
            </w:r>
            <w:r>
              <w:rPr>
                <w:sz w:val="21"/>
                <w:szCs w:val="21"/>
              </w:rPr>
              <w:t>，</w:t>
            </w:r>
            <w:r>
              <w:rPr>
                <w:rFonts w:hint="eastAsia"/>
                <w:sz w:val="21"/>
                <w:szCs w:val="21"/>
              </w:rPr>
              <w:t>用于母猪待产</w:t>
            </w:r>
            <w:r>
              <w:rPr>
                <w:sz w:val="21"/>
                <w:szCs w:val="21"/>
              </w:rPr>
              <w:t xml:space="preserve"> </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Calibri" w:hAnsi="Calibri"/>
                <w:sz w:val="21"/>
                <w:szCs w:val="21"/>
              </w:rPr>
              <w:t>保育舍</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位于养殖大楼一层</w:t>
            </w:r>
            <w:r>
              <w:rPr>
                <w:rFonts w:hint="eastAsia"/>
                <w:sz w:val="21"/>
                <w:szCs w:val="21"/>
              </w:rPr>
              <w:t>西侧</w:t>
            </w:r>
            <w:r>
              <w:rPr>
                <w:sz w:val="21"/>
                <w:szCs w:val="21"/>
              </w:rPr>
              <w:t>，建筑面积</w:t>
            </w:r>
            <w:r>
              <w:rPr>
                <w:rFonts w:hint="eastAsia"/>
                <w:sz w:val="21"/>
                <w:szCs w:val="21"/>
              </w:rPr>
              <w:t>2380</w:t>
            </w:r>
            <w:r>
              <w:rPr>
                <w:sz w:val="21"/>
                <w:szCs w:val="21"/>
              </w:rPr>
              <w:t>m</w:t>
            </w:r>
            <w:r>
              <w:rPr>
                <w:sz w:val="21"/>
                <w:szCs w:val="21"/>
                <w:vertAlign w:val="superscript"/>
              </w:rPr>
              <w:t>2</w:t>
            </w:r>
            <w:r>
              <w:rPr>
                <w:sz w:val="21"/>
                <w:szCs w:val="21"/>
              </w:rPr>
              <w:t>，</w:t>
            </w:r>
            <w:r>
              <w:rPr>
                <w:rFonts w:hint="eastAsia"/>
                <w:sz w:val="21"/>
                <w:szCs w:val="21"/>
              </w:rPr>
              <w:t>用于仔猪保育</w:t>
            </w:r>
          </w:p>
        </w:tc>
        <w:tc>
          <w:tcPr>
            <w:tcW w:w="1332" w:type="dxa"/>
            <w:tcBorders>
              <w:top w:val="single" w:color="auto" w:sz="4" w:space="0"/>
              <w:left w:val="single" w:color="auto" w:sz="4" w:space="0"/>
              <w:bottom w:val="single" w:color="auto" w:sz="4" w:space="0"/>
              <w:right w:val="single" w:color="auto" w:sz="4" w:space="0"/>
            </w:tcBorders>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502"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育肥舍</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位于养殖大楼二层和三层，建筑面积6400m</w:t>
            </w:r>
            <w:r>
              <w:rPr>
                <w:sz w:val="21"/>
                <w:szCs w:val="21"/>
                <w:vertAlign w:val="superscript"/>
              </w:rPr>
              <w:t>2</w:t>
            </w:r>
            <w:r>
              <w:rPr>
                <w:sz w:val="21"/>
                <w:szCs w:val="21"/>
              </w:rPr>
              <w:t>，</w:t>
            </w:r>
            <w:r>
              <w:rPr>
                <w:rFonts w:hint="eastAsia"/>
                <w:sz w:val="21"/>
                <w:szCs w:val="21"/>
              </w:rPr>
              <w:t>用于商品猪育肥</w:t>
            </w:r>
          </w:p>
        </w:tc>
        <w:tc>
          <w:tcPr>
            <w:tcW w:w="1332" w:type="dxa"/>
            <w:tcBorders>
              <w:top w:val="single" w:color="auto" w:sz="4" w:space="0"/>
              <w:left w:val="single" w:color="auto" w:sz="4" w:space="0"/>
              <w:bottom w:val="single" w:color="auto" w:sz="4" w:space="0"/>
              <w:right w:val="single" w:color="auto" w:sz="4" w:space="0"/>
            </w:tcBorders>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隔离舍</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rFonts w:hint="eastAsia" w:ascii="Times New Roman" w:hAnsi="Times New Roman" w:eastAsia="宋体" w:cs="Times New Roman"/>
                <w:sz w:val="21"/>
              </w:rPr>
              <w:t>位于养殖大楼外东北侧，1F，建筑面积200m2，用于隔离病猪</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2</w:t>
            </w:r>
          </w:p>
        </w:tc>
        <w:tc>
          <w:tcPr>
            <w:tcW w:w="623"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辅助工程</w:t>
            </w: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值班室</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位于厂区东南侧，</w:t>
            </w:r>
            <w:r>
              <w:rPr>
                <w:rFonts w:hint="eastAsia"/>
                <w:sz w:val="21"/>
                <w:szCs w:val="21"/>
              </w:rPr>
              <w:t>1F，</w:t>
            </w:r>
            <w:r>
              <w:rPr>
                <w:sz w:val="21"/>
                <w:szCs w:val="21"/>
              </w:rPr>
              <w:t>建筑面积约15m</w:t>
            </w:r>
            <w:r>
              <w:rPr>
                <w:sz w:val="21"/>
                <w:szCs w:val="21"/>
                <w:vertAlign w:val="superscript"/>
              </w:rPr>
              <w:t>2</w:t>
            </w:r>
            <w:r>
              <w:rPr>
                <w:sz w:val="21"/>
                <w:szCs w:val="21"/>
              </w:rPr>
              <w:t>，用于员工值班休息</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办公室</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kern w:val="0"/>
                <w:sz w:val="21"/>
              </w:rPr>
            </w:pPr>
            <w:r>
              <w:rPr>
                <w:sz w:val="21"/>
                <w:szCs w:val="21"/>
              </w:rPr>
              <w:t>位于厂区东南侧，</w:t>
            </w:r>
            <w:r>
              <w:rPr>
                <w:rFonts w:hint="eastAsia"/>
                <w:sz w:val="21"/>
                <w:szCs w:val="21"/>
              </w:rPr>
              <w:t>1F，</w:t>
            </w:r>
            <w:r>
              <w:rPr>
                <w:sz w:val="21"/>
                <w:szCs w:val="21"/>
              </w:rPr>
              <w:t>建筑面积约15m</w:t>
            </w:r>
            <w:r>
              <w:rPr>
                <w:sz w:val="21"/>
                <w:szCs w:val="21"/>
                <w:vertAlign w:val="superscript"/>
              </w:rPr>
              <w:t>2</w:t>
            </w:r>
            <w:r>
              <w:rPr>
                <w:sz w:val="21"/>
                <w:szCs w:val="21"/>
              </w:rPr>
              <w:t>，用于</w:t>
            </w:r>
            <w:r>
              <w:rPr>
                <w:rFonts w:hint="eastAsia"/>
                <w:sz w:val="21"/>
                <w:szCs w:val="21"/>
              </w:rPr>
              <w:t>职工办公</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设备间</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位于厂区东南侧，设1间建筑面积为20m</w:t>
            </w:r>
            <w:r>
              <w:rPr>
                <w:sz w:val="21"/>
                <w:szCs w:val="21"/>
                <w:vertAlign w:val="superscript"/>
              </w:rPr>
              <w:t>2</w:t>
            </w:r>
            <w:r>
              <w:rPr>
                <w:sz w:val="21"/>
                <w:szCs w:val="21"/>
              </w:rPr>
              <w:t>的发电机房，配套1台备用柴油发电机，输出功率500kw</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Calibri" w:hAnsi="Calibri"/>
                <w:sz w:val="21"/>
                <w:szCs w:val="21"/>
              </w:rPr>
              <w:t>检验检疫区</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位于厂区南侧大门进入处，</w:t>
            </w:r>
            <w:r>
              <w:rPr>
                <w:rFonts w:hint="eastAsia"/>
                <w:sz w:val="21"/>
                <w:szCs w:val="21"/>
              </w:rPr>
              <w:t>1F</w:t>
            </w:r>
            <w:r>
              <w:rPr>
                <w:sz w:val="21"/>
                <w:szCs w:val="21"/>
              </w:rPr>
              <w:t>，建筑面积为60m</w:t>
            </w:r>
            <w:r>
              <w:rPr>
                <w:sz w:val="21"/>
                <w:szCs w:val="21"/>
                <w:vertAlign w:val="superscript"/>
              </w:rPr>
              <w:t>2</w:t>
            </w:r>
            <w:r>
              <w:rPr>
                <w:sz w:val="21"/>
                <w:szCs w:val="21"/>
              </w:rPr>
              <w:t>，包括消毒通道、沐浴消毒区、消毒更衣室等</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3</w:t>
            </w:r>
          </w:p>
        </w:tc>
        <w:tc>
          <w:tcPr>
            <w:tcW w:w="623"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储运</w:t>
            </w:r>
            <w:r>
              <w:rPr>
                <w:rFonts w:ascii="Times New Roman" w:hAnsi="Times New Roman" w:eastAsia="宋体" w:cs="Times New Roman"/>
                <w:sz w:val="21"/>
              </w:rPr>
              <w:t>工程</w:t>
            </w:r>
          </w:p>
        </w:tc>
        <w:tc>
          <w:tcPr>
            <w:tcW w:w="1207" w:type="dxa"/>
            <w:gridSpan w:val="2"/>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sz w:val="21"/>
                <w:szCs w:val="21"/>
              </w:rPr>
              <w:t>库房</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位于厂区东南侧，建筑面积约60m</w:t>
            </w:r>
            <w:r>
              <w:rPr>
                <w:sz w:val="21"/>
                <w:szCs w:val="21"/>
                <w:vertAlign w:val="superscript"/>
              </w:rPr>
              <w:t>2</w:t>
            </w:r>
            <w:r>
              <w:rPr>
                <w:sz w:val="21"/>
                <w:szCs w:val="21"/>
              </w:rPr>
              <w:t>，用于各阶段生猪饲料及药品存储</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库房只用于药品储存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vMerge w:val="continue"/>
            <w:tcBorders>
              <w:left w:val="single" w:color="auto" w:sz="4" w:space="0"/>
              <w:bottom w:val="single" w:color="auto" w:sz="4" w:space="0"/>
              <w:right w:val="single" w:color="auto" w:sz="4" w:space="0"/>
            </w:tcBorders>
            <w:vAlign w:val="center"/>
          </w:tcPr>
          <w:p>
            <w:pPr>
              <w:adjustRightInd w:val="0"/>
              <w:jc w:val="center"/>
              <w:rPr>
                <w:sz w:val="21"/>
                <w:szCs w:val="21"/>
              </w:rPr>
            </w:pP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rFonts w:hint="eastAsia"/>
                <w:sz w:val="21"/>
                <w:szCs w:val="21"/>
              </w:rPr>
              <w:t>/</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猪饲料采用罐装的方式，直接供给养殖大楼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sz w:val="21"/>
                <w:szCs w:val="21"/>
              </w:rPr>
              <w:t>粪污收集</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sz w:val="21"/>
              </w:rPr>
            </w:pPr>
            <w:r>
              <w:rPr>
                <w:sz w:val="21"/>
                <w:szCs w:val="21"/>
              </w:rPr>
              <w:t>设置干清粪系统，包括排漏粪板、刮粪机、输送管等</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restart"/>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4</w:t>
            </w:r>
          </w:p>
        </w:tc>
        <w:tc>
          <w:tcPr>
            <w:tcW w:w="623" w:type="dxa"/>
            <w:vMerge w:val="restart"/>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Calibri" w:hAnsi="Calibri"/>
                <w:sz w:val="21"/>
                <w:szCs w:val="21"/>
              </w:rPr>
              <w:t>公用工程</w:t>
            </w: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sz w:val="21"/>
                <w:szCs w:val="21"/>
              </w:rPr>
              <w:t>给水</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rFonts w:hAnsi="宋体"/>
                <w:sz w:val="21"/>
                <w:szCs w:val="21"/>
              </w:rPr>
              <w:t>生活用水为自来水供水，生产用水为自</w:t>
            </w:r>
            <w:r>
              <w:rPr>
                <w:rFonts w:hint="eastAsia" w:hAnsi="宋体"/>
                <w:sz w:val="21"/>
                <w:szCs w:val="21"/>
              </w:rPr>
              <w:t>打</w:t>
            </w:r>
            <w:r>
              <w:rPr>
                <w:rFonts w:hAnsi="宋体"/>
                <w:sz w:val="21"/>
                <w:szCs w:val="21"/>
              </w:rPr>
              <w:t>水井供给，场区</w:t>
            </w:r>
            <w:r>
              <w:rPr>
                <w:rFonts w:hint="eastAsia" w:hAnsi="宋体"/>
                <w:sz w:val="21"/>
                <w:szCs w:val="21"/>
              </w:rPr>
              <w:t>内</w:t>
            </w:r>
            <w:r>
              <w:rPr>
                <w:rFonts w:hAnsi="宋体"/>
                <w:sz w:val="21"/>
                <w:szCs w:val="21"/>
              </w:rPr>
              <w:t>设</w:t>
            </w:r>
            <w:r>
              <w:rPr>
                <w:sz w:val="21"/>
                <w:szCs w:val="21"/>
              </w:rPr>
              <w:t>1</w:t>
            </w:r>
            <w:r>
              <w:rPr>
                <w:rFonts w:hAnsi="宋体"/>
                <w:sz w:val="21"/>
                <w:szCs w:val="21"/>
              </w:rPr>
              <w:t>座高位蓄水池</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sz w:val="21"/>
                <w:szCs w:val="21"/>
              </w:rPr>
              <w:t>排水</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sz w:val="21"/>
                <w:szCs w:val="21"/>
              </w:rPr>
              <w:t>实行雨污分流制，厂内分别设置雨水管线和污水收集管线。生产废水和生活污水经污水处理设施处理后沼液还田</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vMerge w:val="restart"/>
            <w:tcBorders>
              <w:top w:val="single" w:color="auto" w:sz="4" w:space="0"/>
              <w:left w:val="single" w:color="auto" w:sz="4" w:space="0"/>
              <w:right w:val="single" w:color="auto" w:sz="4" w:space="0"/>
            </w:tcBorders>
            <w:vAlign w:val="center"/>
          </w:tcPr>
          <w:p>
            <w:pPr>
              <w:adjustRightInd w:val="0"/>
              <w:jc w:val="center"/>
              <w:rPr>
                <w:sz w:val="21"/>
                <w:szCs w:val="21"/>
              </w:rPr>
            </w:pPr>
            <w:r>
              <w:rPr>
                <w:rFonts w:ascii="Calibri" w:hAnsi="Calibri"/>
                <w:sz w:val="21"/>
                <w:szCs w:val="21"/>
              </w:rPr>
              <w:t>供电系统</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sz w:val="21"/>
                <w:szCs w:val="21"/>
              </w:rPr>
              <w:t>主供电源：设置1间配电房，就近接入市政电源</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vMerge w:val="continue"/>
            <w:tcBorders>
              <w:left w:val="single" w:color="auto" w:sz="4" w:space="0"/>
              <w:bottom w:val="single" w:color="auto" w:sz="4" w:space="0"/>
              <w:right w:val="single" w:color="auto" w:sz="4" w:space="0"/>
            </w:tcBorders>
            <w:vAlign w:val="center"/>
          </w:tcPr>
          <w:p>
            <w:pPr>
              <w:adjustRightInd w:val="0"/>
              <w:jc w:val="center"/>
              <w:rPr>
                <w:sz w:val="21"/>
                <w:szCs w:val="21"/>
              </w:rPr>
            </w:pP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sz w:val="21"/>
                <w:szCs w:val="21"/>
              </w:rPr>
              <w:t>后备电源：设置 1 间柴油发电机房，内置柴油发电机作为备用电源，柴油储存量</w:t>
            </w:r>
            <w:r>
              <w:rPr>
                <w:rFonts w:hint="eastAsia"/>
                <w:sz w:val="21"/>
                <w:szCs w:val="21"/>
              </w:rPr>
              <w:t>500L</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ascii="Calibri" w:hAnsi="Calibri"/>
                <w:sz w:val="21"/>
                <w:szCs w:val="21"/>
              </w:rPr>
              <w:t>通风系统</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rFonts w:ascii="Calibri" w:hAnsi="Calibri"/>
                <w:sz w:val="21"/>
                <w:szCs w:val="21"/>
              </w:rPr>
              <w:t>猪舍设置风机，采取全机械通风</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ascii="Calibri" w:hAnsi="Calibri"/>
                <w:sz w:val="21"/>
                <w:szCs w:val="21"/>
              </w:rPr>
              <w:t>空气调节系统</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rFonts w:ascii="Calibri" w:hAnsi="Calibri"/>
                <w:sz w:val="21"/>
                <w:szCs w:val="21"/>
              </w:rPr>
              <w:t>夏季采用循环水帘通风降温，冬季</w:t>
            </w:r>
            <w:r>
              <w:rPr>
                <w:rFonts w:hint="eastAsia" w:ascii="Calibri" w:hAnsi="Calibri"/>
                <w:sz w:val="21"/>
                <w:szCs w:val="21"/>
              </w:rPr>
              <w:t>分娩舍、保育舍</w:t>
            </w:r>
            <w:r>
              <w:rPr>
                <w:rFonts w:ascii="Calibri" w:hAnsi="Calibri"/>
                <w:sz w:val="21"/>
                <w:szCs w:val="21"/>
              </w:rPr>
              <w:t>采取</w:t>
            </w:r>
            <w:r>
              <w:rPr>
                <w:rFonts w:hint="eastAsia" w:ascii="Calibri" w:hAnsi="Calibri"/>
                <w:sz w:val="21"/>
                <w:szCs w:val="21"/>
              </w:rPr>
              <w:t>地暖设备供热</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ascii="Calibri" w:hAnsi="Calibri"/>
                <w:sz w:val="21"/>
                <w:szCs w:val="21"/>
              </w:rPr>
              <w:t>沼气系统</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sz w:val="21"/>
                <w:szCs w:val="21"/>
              </w:rPr>
              <w:t>沼气系统主要包括气水分离器、脱硫塔、贮气柜、放空火炬。</w:t>
            </w:r>
            <w:r>
              <w:rPr>
                <w:rFonts w:hint="eastAsia"/>
                <w:sz w:val="21"/>
                <w:szCs w:val="21"/>
              </w:rPr>
              <w:t>储气袋</w:t>
            </w:r>
            <w:r>
              <w:rPr>
                <w:sz w:val="21"/>
                <w:szCs w:val="21"/>
              </w:rPr>
              <w:t>容积80m</w:t>
            </w:r>
            <w:r>
              <w:rPr>
                <w:sz w:val="21"/>
                <w:szCs w:val="21"/>
                <w:vertAlign w:val="superscript"/>
              </w:rPr>
              <w:t>3</w:t>
            </w:r>
            <w:r>
              <w:rPr>
                <w:sz w:val="21"/>
                <w:szCs w:val="21"/>
              </w:rPr>
              <w:t>，将沼气暂存后供场区内职工作为食堂</w:t>
            </w:r>
            <w:r>
              <w:rPr>
                <w:rFonts w:hint="eastAsia"/>
                <w:sz w:val="21"/>
                <w:szCs w:val="21"/>
              </w:rPr>
              <w:t>、周边农户</w:t>
            </w:r>
            <w:r>
              <w:rPr>
                <w:sz w:val="21"/>
                <w:szCs w:val="21"/>
              </w:rPr>
              <w:t>燃料使用，同时设置放空火炬，对利用不完的沼气进行放空点燃处置</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623"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sz w:val="21"/>
                <w:szCs w:val="21"/>
              </w:rPr>
            </w:pPr>
            <w:r>
              <w:rPr>
                <w:rFonts w:hint="eastAsia" w:ascii="Calibri" w:hAnsi="Calibri"/>
                <w:sz w:val="21"/>
                <w:szCs w:val="21"/>
              </w:rPr>
              <w:t>绿化</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sz w:val="21"/>
                <w:szCs w:val="21"/>
              </w:rPr>
            </w:pPr>
            <w:r>
              <w:rPr>
                <w:sz w:val="21"/>
                <w:szCs w:val="21"/>
                <w:lang w:bidi="ar"/>
              </w:rPr>
              <w:t>厂区绿化面积1310m</w:t>
            </w:r>
            <w:r>
              <w:rPr>
                <w:sz w:val="21"/>
                <w:szCs w:val="21"/>
                <w:vertAlign w:val="superscript"/>
                <w:lang w:bidi="ar"/>
              </w:rPr>
              <w:t>2</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5</w:t>
            </w:r>
          </w:p>
        </w:tc>
        <w:tc>
          <w:tcPr>
            <w:tcW w:w="623"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ascii="Times New Roman" w:hAnsi="Times New Roman" w:eastAsia="宋体" w:cs="Times New Roman"/>
                <w:sz w:val="21"/>
              </w:rPr>
              <w:t>环保工程</w:t>
            </w:r>
          </w:p>
        </w:tc>
        <w:tc>
          <w:tcPr>
            <w:tcW w:w="502"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废水治理</w:t>
            </w:r>
          </w:p>
        </w:tc>
        <w:tc>
          <w:tcPr>
            <w:tcW w:w="705" w:type="dxa"/>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污水处理系统</w:t>
            </w:r>
          </w:p>
        </w:tc>
        <w:tc>
          <w:tcPr>
            <w:tcW w:w="4961" w:type="dxa"/>
            <w:tcBorders>
              <w:top w:val="single" w:color="auto" w:sz="4" w:space="0"/>
              <w:left w:val="single" w:color="auto" w:sz="4" w:space="0"/>
              <w:right w:val="single" w:color="auto" w:sz="4" w:space="0"/>
            </w:tcBorders>
          </w:tcPr>
          <w:p>
            <w:pPr>
              <w:adjustRightInd w:val="0"/>
              <w:rPr>
                <w:rFonts w:ascii="Times New Roman" w:hAnsi="Times New Roman" w:eastAsia="宋体" w:cs="Times New Roman"/>
                <w:kern w:val="0"/>
                <w:sz w:val="21"/>
              </w:rPr>
            </w:pPr>
            <w:r>
              <w:rPr>
                <w:rFonts w:ascii="Calibri" w:hAnsi="Calibri"/>
                <w:sz w:val="21"/>
                <w:szCs w:val="21"/>
              </w:rPr>
              <w:t>设隔油</w:t>
            </w:r>
            <w:r>
              <w:rPr>
                <w:sz w:val="21"/>
                <w:szCs w:val="21"/>
              </w:rPr>
              <w:t>池及废水处理站各1座，隔油池位于食堂旁，隔油能力为5m</w:t>
            </w:r>
            <w:r>
              <w:rPr>
                <w:sz w:val="21"/>
                <w:szCs w:val="21"/>
                <w:vertAlign w:val="superscript"/>
              </w:rPr>
              <w:t>3</w:t>
            </w:r>
            <w:r>
              <w:rPr>
                <w:sz w:val="21"/>
                <w:szCs w:val="21"/>
              </w:rPr>
              <w:t>/d，食堂废水经隔油池处理后排入废水处理站处理；污水处理站位于厂区</w:t>
            </w:r>
            <w:r>
              <w:rPr>
                <w:rFonts w:hint="eastAsia"/>
                <w:sz w:val="21"/>
                <w:szCs w:val="21"/>
              </w:rPr>
              <w:t>东南</w:t>
            </w:r>
            <w:r>
              <w:rPr>
                <w:sz w:val="21"/>
                <w:szCs w:val="21"/>
              </w:rPr>
              <w:t>侧，设计处理能力为</w:t>
            </w:r>
            <w:r>
              <w:rPr>
                <w:rFonts w:hint="eastAsia"/>
                <w:sz w:val="21"/>
                <w:szCs w:val="21"/>
              </w:rPr>
              <w:t>4</w:t>
            </w:r>
            <w:r>
              <w:rPr>
                <w:sz w:val="21"/>
                <w:szCs w:val="21"/>
              </w:rPr>
              <w:t>0m</w:t>
            </w:r>
            <w:r>
              <w:rPr>
                <w:sz w:val="21"/>
                <w:szCs w:val="21"/>
                <w:vertAlign w:val="superscript"/>
              </w:rPr>
              <w:t>3</w:t>
            </w:r>
            <w:r>
              <w:rPr>
                <w:sz w:val="21"/>
                <w:szCs w:val="21"/>
              </w:rPr>
              <w:t>/d，废水处理站采用“</w:t>
            </w:r>
            <w:r>
              <w:rPr>
                <w:rFonts w:hint="eastAsia"/>
                <w:sz w:val="21"/>
                <w:szCs w:val="21"/>
              </w:rPr>
              <w:t>固液分离器+</w:t>
            </w:r>
            <w:r>
              <w:rPr>
                <w:rFonts w:hint="eastAsia"/>
                <w:sz w:val="21"/>
                <w:szCs w:val="21"/>
                <w:lang w:bidi="ar"/>
              </w:rPr>
              <w:t>调节池</w:t>
            </w:r>
            <w:r>
              <w:rPr>
                <w:sz w:val="21"/>
                <w:szCs w:val="21"/>
                <w:lang w:bidi="ar"/>
              </w:rPr>
              <w:t>+</w:t>
            </w:r>
            <w:r>
              <w:rPr>
                <w:rFonts w:hint="eastAsia"/>
                <w:sz w:val="21"/>
                <w:szCs w:val="21"/>
                <w:lang w:bidi="ar"/>
              </w:rPr>
              <w:t>厌氧反应器</w:t>
            </w:r>
            <w:r>
              <w:rPr>
                <w:sz w:val="21"/>
                <w:szCs w:val="21"/>
              </w:rPr>
              <w:t>”工艺</w:t>
            </w:r>
            <w:r>
              <w:rPr>
                <w:rFonts w:hint="eastAsia"/>
                <w:sz w:val="21"/>
                <w:szCs w:val="21"/>
              </w:rPr>
              <w:t>，废水经处理后沼液还田，配套建设还田管网沼液输送干管直径为</w:t>
            </w:r>
            <w:r>
              <w:rPr>
                <w:sz w:val="21"/>
                <w:szCs w:val="21"/>
              </w:rPr>
              <w:t>DN</w:t>
            </w:r>
            <w:r>
              <w:rPr>
                <w:rFonts w:hint="eastAsia"/>
                <w:sz w:val="21"/>
                <w:szCs w:val="21"/>
              </w:rPr>
              <w:t>75，支管直径为</w:t>
            </w:r>
            <w:r>
              <w:rPr>
                <w:sz w:val="21"/>
                <w:szCs w:val="21"/>
              </w:rPr>
              <w:t>DN</w:t>
            </w:r>
            <w:r>
              <w:rPr>
                <w:rFonts w:hint="eastAsia"/>
                <w:sz w:val="21"/>
                <w:szCs w:val="21"/>
              </w:rPr>
              <w:t>40，总长度约10km</w:t>
            </w:r>
          </w:p>
        </w:tc>
        <w:tc>
          <w:tcPr>
            <w:tcW w:w="1332" w:type="dxa"/>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场内沼液</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hint="eastAsia" w:ascii="宋体" w:hAnsi="宋体" w:cs="宋体"/>
                <w:sz w:val="21"/>
                <w:szCs w:val="21"/>
                <w:lang w:bidi="ar"/>
              </w:rPr>
              <w:t>位于场区东侧，容积</w:t>
            </w:r>
            <w:r>
              <w:rPr>
                <w:sz w:val="21"/>
                <w:szCs w:val="21"/>
                <w:lang w:bidi="ar"/>
              </w:rPr>
              <w:t>为</w:t>
            </w:r>
            <w:r>
              <w:rPr>
                <w:rFonts w:hint="eastAsia"/>
                <w:sz w:val="21"/>
                <w:szCs w:val="21"/>
                <w:lang w:bidi="ar"/>
              </w:rPr>
              <w:t>75</w:t>
            </w:r>
            <w:r>
              <w:rPr>
                <w:sz w:val="21"/>
                <w:szCs w:val="21"/>
                <w:lang w:bidi="ar"/>
              </w:rPr>
              <w:t>00m</w:t>
            </w:r>
            <w:r>
              <w:rPr>
                <w:sz w:val="21"/>
                <w:szCs w:val="21"/>
                <w:vertAlign w:val="superscript"/>
                <w:lang w:bidi="ar"/>
              </w:rPr>
              <w:t>3</w:t>
            </w:r>
            <w:r>
              <w:rPr>
                <w:sz w:val="21"/>
                <w:szCs w:val="21"/>
                <w:lang w:bidi="ar"/>
              </w:rPr>
              <w:t>，</w:t>
            </w:r>
            <w:r>
              <w:rPr>
                <w:rFonts w:hint="eastAsia" w:ascii="宋体" w:hAnsi="宋体" w:cs="宋体"/>
                <w:sz w:val="21"/>
                <w:szCs w:val="21"/>
                <w:lang w:bidi="ar"/>
              </w:rPr>
              <w:t>用于暂存沼液，顶部搭设遮雨棚</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场外沼液</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hint="eastAsia" w:ascii="Calibri" w:hAnsi="Calibri"/>
                <w:sz w:val="21"/>
                <w:szCs w:val="21"/>
              </w:rPr>
              <w:t>拟建</w:t>
            </w:r>
            <w:r>
              <w:rPr>
                <w:rFonts w:ascii="Calibri" w:hAnsi="Calibri"/>
                <w:sz w:val="21"/>
                <w:szCs w:val="21"/>
              </w:rPr>
              <w:t>项目从</w:t>
            </w:r>
            <w:r>
              <w:rPr>
                <w:rFonts w:hint="eastAsia" w:ascii="Calibri" w:hAnsi="Calibri"/>
                <w:sz w:val="21"/>
                <w:szCs w:val="21"/>
              </w:rPr>
              <w:t>场内</w:t>
            </w:r>
            <w:r>
              <w:rPr>
                <w:rFonts w:ascii="Calibri" w:hAnsi="Calibri"/>
                <w:sz w:val="21"/>
                <w:szCs w:val="21"/>
              </w:rPr>
              <w:t>暂存池至田间暂存池管道采</w:t>
            </w:r>
            <w:r>
              <w:rPr>
                <w:sz w:val="21"/>
                <w:szCs w:val="21"/>
              </w:rPr>
              <w:t>用PE管，主干管直径为DN50</w:t>
            </w:r>
            <w:r>
              <w:rPr>
                <w:rFonts w:hint="eastAsia"/>
                <w:sz w:val="21"/>
                <w:szCs w:val="21"/>
              </w:rPr>
              <w:t>，总长度约3.5km，</w:t>
            </w:r>
            <w:r>
              <w:rPr>
                <w:sz w:val="21"/>
                <w:szCs w:val="21"/>
              </w:rPr>
              <w:t>在</w:t>
            </w:r>
            <w:r>
              <w:rPr>
                <w:rFonts w:hint="eastAsia"/>
                <w:sz w:val="21"/>
                <w:szCs w:val="21"/>
              </w:rPr>
              <w:t>还田区</w:t>
            </w:r>
            <w:r>
              <w:rPr>
                <w:sz w:val="21"/>
                <w:szCs w:val="21"/>
              </w:rPr>
              <w:t>设2个暂存池，容积分别为500m</w:t>
            </w:r>
            <w:r>
              <w:rPr>
                <w:sz w:val="21"/>
                <w:szCs w:val="21"/>
                <w:vertAlign w:val="superscript"/>
              </w:rPr>
              <w:t>3</w:t>
            </w:r>
            <w:r>
              <w:rPr>
                <w:sz w:val="21"/>
                <w:szCs w:val="21"/>
              </w:rPr>
              <w:t>、500m</w:t>
            </w:r>
            <w:r>
              <w:rPr>
                <w:sz w:val="21"/>
                <w:szCs w:val="21"/>
                <w:vertAlign w:val="superscript"/>
              </w:rPr>
              <w:t>3</w:t>
            </w:r>
            <w:r>
              <w:rPr>
                <w:sz w:val="21"/>
                <w:szCs w:val="21"/>
              </w:rPr>
              <w:t>，总容积1000m</w:t>
            </w:r>
            <w:r>
              <w:rPr>
                <w:sz w:val="21"/>
                <w:szCs w:val="21"/>
                <w:vertAlign w:val="superscript"/>
              </w:rPr>
              <w:t>3</w:t>
            </w:r>
            <w:r>
              <w:rPr>
                <w:sz w:val="21"/>
                <w:szCs w:val="21"/>
              </w:rPr>
              <w:t>，用于</w:t>
            </w:r>
            <w:r>
              <w:rPr>
                <w:rFonts w:hint="eastAsia"/>
                <w:sz w:val="21"/>
                <w:szCs w:val="21"/>
              </w:rPr>
              <w:t>暂存沼液</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废气治理</w:t>
            </w: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kern w:val="0"/>
                <w:sz w:val="21"/>
              </w:rPr>
            </w:pPr>
            <w:r>
              <w:rPr>
                <w:rFonts w:hint="eastAsia" w:ascii="Times New Roman" w:hAnsi="Times New Roman" w:eastAsia="宋体" w:cs="Times New Roman"/>
                <w:kern w:val="0"/>
                <w:sz w:val="21"/>
              </w:rPr>
              <w:t>沼气系统</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hint="eastAsia" w:ascii="Calibri" w:hAnsi="Calibri"/>
                <w:sz w:val="21"/>
                <w:szCs w:val="21"/>
              </w:rPr>
              <w:t>沼气综合</w:t>
            </w:r>
            <w:r>
              <w:rPr>
                <w:sz w:val="21"/>
                <w:szCs w:val="21"/>
              </w:rPr>
              <w:t>利用系统，1 套，位于污水处理站旁，设置80m</w:t>
            </w:r>
            <w:r>
              <w:rPr>
                <w:sz w:val="21"/>
                <w:szCs w:val="21"/>
                <w:vertAlign w:val="superscript"/>
              </w:rPr>
              <w:t>3</w:t>
            </w:r>
            <w:r>
              <w:rPr>
                <w:sz w:val="21"/>
                <w:szCs w:val="21"/>
              </w:rPr>
              <w:t>储气袋，并配置脱水和脱硫装置</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食堂油烟</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ascii="Calibri" w:hAnsi="Calibri"/>
                <w:sz w:val="21"/>
                <w:szCs w:val="21"/>
              </w:rPr>
              <w:t>集气罩收集的油烟经引风机引入油烟净化器处理后通过专用烟道引至楼顶排放</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食堂取消建设，工作餐依托农户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猪舍臭气</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hint="eastAsia" w:ascii="Calibri" w:hAnsi="Calibri"/>
                <w:sz w:val="21"/>
                <w:szCs w:val="21"/>
              </w:rPr>
              <w:t>猪舍设通风系统，猪舍整体抽风，猪舍内喷淋除臭剂进行除臭等</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柴油发电机</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kern w:val="0"/>
                <w:sz w:val="21"/>
              </w:rPr>
            </w:pPr>
            <w:r>
              <w:rPr>
                <w:rFonts w:hint="eastAsia" w:ascii="Calibri" w:hAnsi="Calibri"/>
                <w:sz w:val="21"/>
                <w:szCs w:val="21"/>
              </w:rPr>
              <w:t>通过</w:t>
            </w:r>
            <w:r>
              <w:rPr>
                <w:rFonts w:ascii="Calibri" w:hAnsi="Calibri"/>
                <w:sz w:val="21"/>
                <w:szCs w:val="21"/>
              </w:rPr>
              <w:t>排气</w:t>
            </w:r>
            <w:r>
              <w:rPr>
                <w:rFonts w:hint="eastAsia" w:ascii="Calibri" w:hAnsi="Calibri"/>
                <w:sz w:val="21"/>
                <w:szCs w:val="21"/>
              </w:rPr>
              <w:t>管道</w:t>
            </w:r>
            <w:r>
              <w:rPr>
                <w:rFonts w:ascii="Calibri" w:hAnsi="Calibri"/>
                <w:sz w:val="21"/>
                <w:szCs w:val="21"/>
              </w:rPr>
              <w:t>引至</w:t>
            </w:r>
            <w:r>
              <w:rPr>
                <w:rFonts w:hint="eastAsia" w:ascii="Calibri" w:hAnsi="Calibri"/>
                <w:sz w:val="21"/>
                <w:szCs w:val="21"/>
              </w:rPr>
              <w:t>屋</w:t>
            </w:r>
            <w:r>
              <w:rPr>
                <w:rFonts w:ascii="Calibri" w:hAnsi="Calibri"/>
                <w:sz w:val="21"/>
                <w:szCs w:val="21"/>
              </w:rPr>
              <w:t>顶排放</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restart"/>
            <w:tcBorders>
              <w:top w:val="single" w:color="auto" w:sz="4" w:space="0"/>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固体废物</w:t>
            </w: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Calibri" w:hAnsi="Calibri"/>
                <w:sz w:val="21"/>
                <w:szCs w:val="21"/>
              </w:rPr>
              <w:t>猪粪</w:t>
            </w:r>
          </w:p>
        </w:tc>
        <w:tc>
          <w:tcPr>
            <w:tcW w:w="4961" w:type="dxa"/>
            <w:tcBorders>
              <w:top w:val="single" w:color="auto" w:sz="4" w:space="0"/>
              <w:left w:val="single" w:color="auto" w:sz="4" w:space="0"/>
              <w:bottom w:val="single" w:color="auto" w:sz="4" w:space="0"/>
              <w:right w:val="single" w:color="auto" w:sz="4" w:space="0"/>
            </w:tcBorders>
            <w:vAlign w:val="center"/>
          </w:tcPr>
          <w:p>
            <w:pPr>
              <w:adjustRightInd w:val="0"/>
              <w:rPr>
                <w:rFonts w:ascii="Times New Roman" w:hAnsi="Times New Roman" w:eastAsia="宋体" w:cs="Times New Roman"/>
                <w:kern w:val="0"/>
                <w:sz w:val="21"/>
              </w:rPr>
            </w:pPr>
            <w:r>
              <w:rPr>
                <w:rFonts w:hint="eastAsia" w:ascii="Calibri" w:hAnsi="Calibri"/>
                <w:sz w:val="21"/>
                <w:szCs w:val="21"/>
              </w:rPr>
              <w:t>修建猪粪暂存池一个，容</w:t>
            </w:r>
            <w:r>
              <w:rPr>
                <w:sz w:val="21"/>
                <w:szCs w:val="21"/>
              </w:rPr>
              <w:t>积200m³</w:t>
            </w:r>
            <w:r>
              <w:rPr>
                <w:rFonts w:hint="eastAsia" w:ascii="Calibri" w:hAnsi="Calibri"/>
                <w:sz w:val="21"/>
                <w:szCs w:val="21"/>
              </w:rPr>
              <w:t>，四周设置排水沟，顶部设置雨棚，池体及底部进行防渗处理</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ascii="Calibri" w:hAnsi="Calibri"/>
                <w:sz w:val="21"/>
                <w:szCs w:val="21"/>
              </w:rPr>
              <w:t>病死猪</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hint="eastAsia" w:ascii="Calibri" w:hAnsi="Calibri"/>
                <w:sz w:val="21"/>
                <w:szCs w:val="21"/>
              </w:rPr>
              <w:t>场地东南侧空地设</w:t>
            </w:r>
            <w:r>
              <w:rPr>
                <w:sz w:val="21"/>
                <w:szCs w:val="21"/>
              </w:rPr>
              <w:t>置2座</w:t>
            </w:r>
            <w:r>
              <w:rPr>
                <w:rFonts w:hint="eastAsia" w:ascii="Calibri" w:hAnsi="Calibri"/>
                <w:sz w:val="21"/>
                <w:szCs w:val="21"/>
              </w:rPr>
              <w:t>安全填埋井，用于病死猪及其分娩物安填埋，总容积为300m³</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ascii="Calibri" w:hAnsi="Calibri"/>
                <w:sz w:val="21"/>
                <w:szCs w:val="21"/>
              </w:rPr>
              <w:t>危险废物</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ascii="Calibri" w:hAnsi="Calibri"/>
                <w:sz w:val="21"/>
                <w:szCs w:val="21"/>
              </w:rPr>
              <w:t>危险废</w:t>
            </w:r>
            <w:r>
              <w:rPr>
                <w:sz w:val="21"/>
                <w:szCs w:val="21"/>
              </w:rPr>
              <w:t>物暂存间设置在厂区南侧，建筑面积约5m</w:t>
            </w:r>
            <w:r>
              <w:rPr>
                <w:sz w:val="21"/>
                <w:szCs w:val="21"/>
                <w:vertAlign w:val="superscript"/>
              </w:rPr>
              <w:t>2</w:t>
            </w:r>
            <w:r>
              <w:rPr>
                <w:sz w:val="21"/>
                <w:szCs w:val="21"/>
              </w:rPr>
              <w:t>，并采取“四防”措施（防雨、防风、防晒和防渗漏），用于临时储存医疗</w:t>
            </w:r>
            <w:r>
              <w:rPr>
                <w:rFonts w:hint="eastAsia"/>
                <w:sz w:val="21"/>
                <w:szCs w:val="21"/>
              </w:rPr>
              <w:t>废物</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502" w:type="dxa"/>
            <w:vMerge w:val="continue"/>
            <w:tcBorders>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ascii="Calibri" w:hAnsi="Calibri"/>
                <w:sz w:val="21"/>
                <w:szCs w:val="21"/>
              </w:rPr>
              <w:t>生活垃圾</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ascii="Calibri" w:hAnsi="Calibri"/>
                <w:sz w:val="21"/>
                <w:szCs w:val="21"/>
              </w:rPr>
              <w:t>厂区设置垃圾桶收集生活垃圾，收集后交由环卫部门处理</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sz w:val="21"/>
              </w:rPr>
            </w:pPr>
            <w:r>
              <w:rPr>
                <w:rFonts w:hint="eastAsia" w:ascii="Times New Roman" w:hAnsi="Times New Roman" w:eastAsia="宋体" w:cs="Times New Roman"/>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dxa"/>
            <w:vMerge w:val="continue"/>
            <w:tcBorders>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623" w:type="dxa"/>
            <w:vMerge w:val="continue"/>
            <w:tcBorders>
              <w:left w:val="single" w:color="auto" w:sz="4" w:space="0"/>
              <w:bottom w:val="single" w:color="auto" w:sz="4" w:space="0"/>
              <w:right w:val="single" w:color="auto" w:sz="4" w:space="0"/>
            </w:tcBorders>
            <w:vAlign w:val="center"/>
          </w:tcPr>
          <w:p>
            <w:pPr>
              <w:widowControl/>
              <w:adjustRightInd w:val="0"/>
              <w:spacing w:line="360" w:lineRule="auto"/>
              <w:jc w:val="left"/>
              <w:rPr>
                <w:rFonts w:ascii="Times New Roman" w:hAnsi="Times New Roman" w:eastAsia="宋体" w:cs="Times New Roman"/>
              </w:rPr>
            </w:pPr>
          </w:p>
        </w:tc>
        <w:tc>
          <w:tcPr>
            <w:tcW w:w="1207"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kern w:val="0"/>
                <w:sz w:val="21"/>
              </w:rPr>
              <w:t>环境风险</w:t>
            </w:r>
          </w:p>
        </w:tc>
        <w:tc>
          <w:tcPr>
            <w:tcW w:w="496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宋体" w:cs="Times New Roman"/>
                <w:kern w:val="0"/>
                <w:sz w:val="21"/>
              </w:rPr>
            </w:pPr>
            <w:r>
              <w:rPr>
                <w:rFonts w:ascii="Calibri" w:hAnsi="Calibri"/>
                <w:sz w:val="21"/>
                <w:szCs w:val="21"/>
              </w:rPr>
              <w:t>污水处</w:t>
            </w:r>
            <w:r>
              <w:rPr>
                <w:sz w:val="21"/>
                <w:szCs w:val="21"/>
              </w:rPr>
              <w:t>理区设置一个事故池，容积为1000m</w:t>
            </w:r>
            <w:r>
              <w:rPr>
                <w:sz w:val="21"/>
                <w:szCs w:val="21"/>
                <w:vertAlign w:val="superscript"/>
              </w:rPr>
              <w:t>3</w:t>
            </w:r>
            <w:r>
              <w:rPr>
                <w:sz w:val="21"/>
                <w:szCs w:val="21"/>
              </w:rPr>
              <w:t>，事故废水可进入事故池，项目废水处理站发生泄漏事故</w:t>
            </w:r>
            <w:r>
              <w:rPr>
                <w:rFonts w:ascii="Calibri" w:hAnsi="Calibri"/>
                <w:sz w:val="21"/>
                <w:szCs w:val="21"/>
              </w:rPr>
              <w:t>或设备故障情况下排入事故池</w:t>
            </w:r>
            <w:r>
              <w:rPr>
                <w:rFonts w:hint="eastAsia" w:ascii="Calibri" w:hAnsi="Calibri"/>
                <w:sz w:val="21"/>
                <w:szCs w:val="21"/>
              </w:rPr>
              <w:t>，</w:t>
            </w:r>
            <w:r>
              <w:rPr>
                <w:rFonts w:ascii="Calibri" w:hAnsi="Calibri"/>
                <w:sz w:val="21"/>
                <w:szCs w:val="21"/>
              </w:rPr>
              <w:t>池体底部及四周防渗处理</w:t>
            </w:r>
          </w:p>
        </w:tc>
        <w:tc>
          <w:tcPr>
            <w:tcW w:w="1332"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eastAsia="宋体" w:cs="Times New Roman"/>
                <w:kern w:val="0"/>
                <w:sz w:val="21"/>
              </w:rPr>
            </w:pPr>
            <w:r>
              <w:rPr>
                <w:rFonts w:hint="eastAsia" w:ascii="Times New Roman" w:hAnsi="Times New Roman" w:eastAsia="宋体" w:cs="Times New Roman"/>
                <w:sz w:val="21"/>
              </w:rPr>
              <w:t>与环评一致</w:t>
            </w:r>
          </w:p>
        </w:tc>
      </w:tr>
      <w:bookmarkEnd w:id="61"/>
    </w:tbl>
    <w:p>
      <w:pPr>
        <w:spacing w:line="360" w:lineRule="auto"/>
        <w:ind w:firstLine="480" w:firstLineChars="200"/>
        <w:rPr>
          <w:rFonts w:ascii="Times New Roman" w:hAnsi="Times New Roman" w:cs="Times New Roman"/>
          <w:bCs/>
        </w:rPr>
      </w:pPr>
      <w:r>
        <w:rPr>
          <w:rFonts w:hint="eastAsia" w:ascii="Times New Roman" w:hAnsi="Times New Roman" w:cs="Times New Roman"/>
          <w:bCs/>
        </w:rPr>
        <w:t>验收项目各生产设备见表3</w:t>
      </w:r>
      <w:r>
        <w:rPr>
          <w:rFonts w:ascii="Times New Roman" w:hAnsi="Times New Roman" w:cs="Times New Roman"/>
          <w:bCs/>
        </w:rPr>
        <w:t>.2-2</w:t>
      </w:r>
      <w:r>
        <w:rPr>
          <w:rFonts w:hint="eastAsia" w:ascii="Times New Roman" w:hAnsi="Times New Roman" w:eastAsia="宋体" w:cs="Times New Roman"/>
        </w:rPr>
        <w:t>。</w:t>
      </w:r>
    </w:p>
    <w:p>
      <w:pPr>
        <w:spacing w:line="360" w:lineRule="auto"/>
        <w:jc w:val="center"/>
        <w:rPr>
          <w:rFonts w:ascii="Times New Roman" w:hAnsi="Times New Roman" w:eastAsia="宋体" w:cs="Times New Roman"/>
          <w:b/>
          <w:bCs/>
          <w:color w:val="000000"/>
        </w:rPr>
      </w:pPr>
      <w:r>
        <w:rPr>
          <w:rFonts w:ascii="Times New Roman" w:hAnsi="Times New Roman" w:cs="Times New Roman"/>
          <w:b/>
        </w:rPr>
        <w:t>表3.2-</w:t>
      </w:r>
      <w:bookmarkStart w:id="62" w:name="_Toc497987772"/>
      <w:bookmarkStart w:id="63" w:name="_Toc14688"/>
      <w:bookmarkStart w:id="64" w:name="_Toc497988053"/>
      <w:bookmarkStart w:id="65" w:name="_Toc497926000"/>
      <w:bookmarkStart w:id="66" w:name="_Toc30905"/>
      <w:bookmarkStart w:id="67" w:name="_Toc497987610"/>
      <w:r>
        <w:rPr>
          <w:rFonts w:ascii="Times New Roman" w:hAnsi="Times New Roman" w:cs="Times New Roman"/>
          <w:b/>
        </w:rPr>
        <w:t xml:space="preserve">2 </w:t>
      </w:r>
      <w:r>
        <w:rPr>
          <w:rFonts w:ascii="Times New Roman" w:hAnsi="Times New Roman" w:cs="Times New Roman"/>
          <w:b/>
          <w:bCs/>
        </w:rPr>
        <w:t xml:space="preserve"> </w:t>
      </w:r>
      <w:r>
        <w:rPr>
          <w:rFonts w:hint="eastAsia" w:ascii="Times New Roman" w:hAnsi="Times New Roman" w:cs="Times New Roman"/>
          <w:b/>
          <w:bCs/>
        </w:rPr>
        <w:t>验收项目</w:t>
      </w:r>
      <w:r>
        <w:rPr>
          <w:rFonts w:ascii="Times New Roman" w:hAnsi="Times New Roman" w:eastAsia="宋体" w:cs="Times New Roman"/>
          <w:b/>
          <w:bCs/>
          <w:color w:val="000000"/>
        </w:rPr>
        <w:t>主要生产设备</w:t>
      </w:r>
      <w:r>
        <w:rPr>
          <w:rFonts w:hint="eastAsia" w:ascii="Times New Roman" w:hAnsi="Times New Roman" w:eastAsia="宋体" w:cs="Times New Roman"/>
          <w:b/>
          <w:bCs/>
          <w:color w:val="000000"/>
        </w:rPr>
        <w:t>一览</w:t>
      </w:r>
      <w:r>
        <w:rPr>
          <w:rFonts w:ascii="Times New Roman" w:hAnsi="Times New Roman" w:eastAsia="宋体" w:cs="Times New Roman"/>
          <w:b/>
          <w:bCs/>
          <w:color w:val="000000"/>
        </w:rPr>
        <w:t>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155"/>
        <w:gridCol w:w="2814"/>
        <w:gridCol w:w="948"/>
        <w:gridCol w:w="1041"/>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设备名称</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型号</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环评阶段数量</w:t>
            </w:r>
          </w:p>
        </w:tc>
        <w:tc>
          <w:tcPr>
            <w:tcW w:w="1041" w:type="dxa"/>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实际数量</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155"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水泥漏缝板</w:t>
            </w:r>
          </w:p>
        </w:tc>
        <w:tc>
          <w:tcPr>
            <w:tcW w:w="2814"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1.2×3.0×0.11/0.6×3.0×0.11</w:t>
            </w:r>
          </w:p>
        </w:tc>
        <w:tc>
          <w:tcPr>
            <w:tcW w:w="948"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3000m</w:t>
            </w:r>
            <w:r>
              <w:rPr>
                <w:rFonts w:ascii="Times New Roman" w:hAnsi="Times New Roman" w:eastAsia="宋体" w:cs="Times New Roman"/>
                <w:sz w:val="21"/>
                <w:szCs w:val="21"/>
                <w:vertAlign w:val="superscript"/>
              </w:rPr>
              <w:t>2</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3000m</w:t>
            </w:r>
            <w:r>
              <w:rPr>
                <w:rFonts w:ascii="Times New Roman" w:hAnsi="Times New Roman" w:eastAsia="宋体" w:cs="Times New Roman"/>
                <w:sz w:val="21"/>
                <w:szCs w:val="21"/>
                <w:vertAlign w:val="superscript"/>
              </w:rPr>
              <w:t>2</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155" w:type="dxa"/>
            <w:vMerge w:val="restart"/>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刮粪机</w:t>
            </w:r>
          </w:p>
        </w:tc>
        <w:tc>
          <w:tcPr>
            <w:tcW w:w="2814"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V刮板宽度2800mm，主板厚度4mm，整体304不锈钢材质</w:t>
            </w:r>
          </w:p>
        </w:tc>
        <w:tc>
          <w:tcPr>
            <w:tcW w:w="948"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8套</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8套</w:t>
            </w:r>
          </w:p>
        </w:tc>
        <w:tc>
          <w:tcPr>
            <w:tcW w:w="2041" w:type="dxa"/>
            <w:vMerge w:val="restart"/>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29"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c>
          <w:tcPr>
            <w:tcW w:w="1155" w:type="dxa"/>
            <w:vMerge w:val="continue"/>
            <w:vAlign w:val="center"/>
          </w:tcPr>
          <w:p>
            <w:pPr>
              <w:spacing w:line="240" w:lineRule="atLeast"/>
              <w:jc w:val="center"/>
              <w:rPr>
                <w:rFonts w:ascii="Times New Roman" w:hAnsi="Times New Roman" w:eastAsia="宋体" w:cs="Times New Roman"/>
                <w:sz w:val="21"/>
                <w:szCs w:val="21"/>
              </w:rPr>
            </w:pPr>
          </w:p>
        </w:tc>
        <w:tc>
          <w:tcPr>
            <w:tcW w:w="2814"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平刮板宽度1000mm，主板厚度4mm，整体304不锈钢材质</w:t>
            </w:r>
          </w:p>
        </w:tc>
        <w:tc>
          <w:tcPr>
            <w:tcW w:w="948"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2套</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2套</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9" w:type="dxa"/>
            <w:vMerge w:val="restart"/>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155" w:type="dxa"/>
            <w:vMerge w:val="restart"/>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栏位</w:t>
            </w:r>
          </w:p>
        </w:tc>
        <w:tc>
          <w:tcPr>
            <w:tcW w:w="2814"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分娩栏2.4×1.1×0.65m</w:t>
            </w:r>
          </w:p>
        </w:tc>
        <w:tc>
          <w:tcPr>
            <w:tcW w:w="948"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224组</w:t>
            </w:r>
          </w:p>
        </w:tc>
        <w:tc>
          <w:tcPr>
            <w:tcW w:w="1041" w:type="dxa"/>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224组</w:t>
            </w:r>
          </w:p>
        </w:tc>
        <w:tc>
          <w:tcPr>
            <w:tcW w:w="2041" w:type="dxa"/>
            <w:vMerge w:val="restart"/>
            <w:vAlign w:val="center"/>
          </w:tcPr>
          <w:p>
            <w:pPr>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29"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c>
          <w:tcPr>
            <w:tcW w:w="1155"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母猪限位栏2.2×1.1×0.6m</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900套</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900套</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料线</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料塔6T/7.5T/22T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8个</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8个</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自动喂料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高压冲洗</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移动冲洗小车</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10套</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10套</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猪舍清洗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壁挂炉</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20KW</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2台</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2台</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人员供暖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备用柴油发电机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500KW</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停电时，整场供电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地暖</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65KW</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50套</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50套</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仔猪供暖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电梯</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曳引式</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1部</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1部</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商品猪出圈舍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地磅</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100T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货物及猪只称重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LED灯</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防水T8型</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4666只</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4666只</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猪场照明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格栅机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渠宽800mm，栅隙5mm</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Merge w:val="restart"/>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潜水搅拌机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2.2kw</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提升泵</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 xml:space="preserve">/h，16m，2.2kW </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4台</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固液分离机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LK120</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调节池提升泵</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/h，16m，1.5kW</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2台</w:t>
            </w:r>
          </w:p>
        </w:tc>
        <w:tc>
          <w:tcPr>
            <w:tcW w:w="1041" w:type="dxa"/>
            <w:vAlign w:val="center"/>
          </w:tcPr>
          <w:p>
            <w:pPr>
              <w:adjustRightInd w:val="0"/>
              <w:snapToGrid w:val="0"/>
              <w:spacing w:line="240" w:lineRule="atLeast"/>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2台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板框压滤机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1台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储气袋</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80m</w:t>
            </w:r>
            <w:r>
              <w:rPr>
                <w:rFonts w:ascii="Times New Roman" w:hAnsi="Times New Roman" w:eastAsia="宋体" w:cs="Times New Roman"/>
                <w:sz w:val="21"/>
                <w:szCs w:val="21"/>
                <w:vertAlign w:val="superscript"/>
              </w:rPr>
              <w:t>3</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1个</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1个</w:t>
            </w:r>
          </w:p>
        </w:tc>
        <w:tc>
          <w:tcPr>
            <w:tcW w:w="2041" w:type="dxa"/>
            <w:vMerge w:val="restart"/>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沼气净化、利用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气水分离器</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1个</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1个</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脱硫塔</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LST-800</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1套</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1套</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增压风机</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JVR100</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1台</w:t>
            </w:r>
          </w:p>
        </w:tc>
        <w:tc>
          <w:tcPr>
            <w:tcW w:w="2041" w:type="dxa"/>
            <w:vMerge w:val="continue"/>
            <w:vAlign w:val="center"/>
          </w:tcPr>
          <w:p>
            <w:pPr>
              <w:adjustRightInd w:val="0"/>
              <w:snapToGrid w:val="0"/>
              <w:spacing w:line="240" w:lineRule="atLeast"/>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饲料储罐</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30t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4个</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饲料储罐</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20t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3个</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29"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55"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饲料储罐</w:t>
            </w:r>
          </w:p>
        </w:tc>
        <w:tc>
          <w:tcPr>
            <w:tcW w:w="2814"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8t</w:t>
            </w:r>
          </w:p>
        </w:tc>
        <w:tc>
          <w:tcPr>
            <w:tcW w:w="948"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1个</w:t>
            </w:r>
          </w:p>
        </w:tc>
        <w:tc>
          <w:tcPr>
            <w:tcW w:w="2041" w:type="dxa"/>
            <w:vAlign w:val="center"/>
          </w:tcPr>
          <w:p>
            <w:pPr>
              <w:adjustRightInd w:val="0"/>
              <w:snapToGri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饲料储存</w:t>
            </w:r>
          </w:p>
        </w:tc>
      </w:tr>
    </w:tbl>
    <w:p>
      <w:pPr>
        <w:pStyle w:val="3"/>
        <w:rPr>
          <w:rFonts w:cs="Times New Roman"/>
          <w:szCs w:val="32"/>
        </w:rPr>
      </w:pPr>
      <w:bookmarkStart w:id="68" w:name="_Toc102039292"/>
      <w:r>
        <w:rPr>
          <w:rFonts w:cs="Times New Roman"/>
          <w:szCs w:val="32"/>
        </w:rPr>
        <w:t>3.3主要原辅材料</w:t>
      </w:r>
      <w:bookmarkEnd w:id="62"/>
      <w:bookmarkEnd w:id="63"/>
      <w:bookmarkEnd w:id="64"/>
      <w:bookmarkEnd w:id="65"/>
      <w:bookmarkEnd w:id="66"/>
      <w:bookmarkEnd w:id="67"/>
      <w:bookmarkEnd w:id="68"/>
    </w:p>
    <w:p>
      <w:pPr>
        <w:spacing w:line="360" w:lineRule="auto"/>
        <w:ind w:firstLine="480" w:firstLineChars="200"/>
        <w:rPr>
          <w:rFonts w:ascii="Times New Roman" w:hAnsi="Times New Roman" w:cs="Times New Roman"/>
          <w:szCs w:val="21"/>
        </w:rPr>
      </w:pPr>
      <w:r>
        <w:rPr>
          <w:rFonts w:hint="eastAsia" w:ascii="Times New Roman" w:hAnsi="Times New Roman" w:cs="Times New Roman"/>
          <w:szCs w:val="21"/>
        </w:rPr>
        <w:t>验收</w:t>
      </w:r>
      <w:r>
        <w:rPr>
          <w:rFonts w:ascii="Times New Roman" w:hAnsi="Times New Roman" w:cs="Times New Roman"/>
          <w:szCs w:val="21"/>
        </w:rPr>
        <w:t>项目主要原辅料见表3.3-1。</w:t>
      </w:r>
    </w:p>
    <w:p>
      <w:pPr>
        <w:jc w:val="center"/>
        <w:rPr>
          <w:rFonts w:ascii="Times New Roman" w:hAnsi="Times New Roman" w:eastAsia="宋体" w:cs="Times New Roman"/>
          <w:b/>
          <w:bCs/>
          <w:color w:val="000000"/>
        </w:rPr>
      </w:pPr>
      <w:r>
        <w:rPr>
          <w:rFonts w:ascii="Times New Roman" w:hAnsi="Times New Roman" w:cs="Times New Roman"/>
          <w:b/>
        </w:rPr>
        <w:t xml:space="preserve">表3.3-1  </w:t>
      </w:r>
      <w:r>
        <w:rPr>
          <w:rFonts w:ascii="Times New Roman" w:hAnsi="Times New Roman" w:eastAsia="宋体" w:cs="Times New Roman"/>
          <w:b/>
          <w:bCs/>
          <w:color w:val="000000"/>
        </w:rPr>
        <w:t xml:space="preserve"> 项目原辅材料用量表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246"/>
        <w:gridCol w:w="900"/>
        <w:gridCol w:w="900"/>
        <w:gridCol w:w="901"/>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原辅材料</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环评阶段</w:t>
            </w:r>
            <w:r>
              <w:rPr>
                <w:rFonts w:ascii="Times New Roman" w:hAnsi="Times New Roman" w:eastAsia="宋体" w:cs="Times New Roman"/>
                <w:kern w:val="0"/>
                <w:sz w:val="21"/>
                <w:szCs w:val="21"/>
              </w:rPr>
              <w:t>年消耗量</w:t>
            </w:r>
          </w:p>
        </w:tc>
        <w:tc>
          <w:tcPr>
            <w:tcW w:w="993" w:type="dxa"/>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实际</w:t>
            </w:r>
            <w:r>
              <w:rPr>
                <w:rFonts w:ascii="Times New Roman" w:hAnsi="Times New Roman" w:eastAsia="宋体" w:cs="Times New Roman"/>
                <w:kern w:val="0"/>
                <w:sz w:val="21"/>
                <w:szCs w:val="21"/>
              </w:rPr>
              <w:t>年消耗量</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最大暂存量</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规格</w:t>
            </w:r>
          </w:p>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型号</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成品饲料</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4687.1t/a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4687.1t/a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150t</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粒料</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成品饲料内含添加剂主要为氨基酸、无机盐微量元素、维生素等，公路运输至厂内饲料塔储存，不需要在厂内进行加工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防疫药剂</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万头份/a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万头份/a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500</w:t>
            </w:r>
            <w:r>
              <w:rPr>
                <w:rFonts w:ascii="Times New Roman" w:hAnsi="Times New Roman" w:eastAsia="宋体" w:cs="Times New Roman"/>
                <w:kern w:val="0"/>
                <w:sz w:val="21"/>
                <w:szCs w:val="21"/>
              </w:rPr>
              <w:t>头份</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猪瘟疫苗、猪口蹄疫疫苗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兽药</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18</w:t>
            </w:r>
            <w:r>
              <w:rPr>
                <w:rFonts w:ascii="Times New Roman" w:hAnsi="Times New Roman" w:eastAsia="宋体" w:cs="Times New Roman"/>
                <w:kern w:val="0"/>
                <w:sz w:val="21"/>
                <w:szCs w:val="21"/>
              </w:rPr>
              <w:t>000头份/a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18</w:t>
            </w:r>
            <w:r>
              <w:rPr>
                <w:rFonts w:ascii="Times New Roman" w:hAnsi="Times New Roman" w:eastAsia="宋体" w:cs="Times New Roman"/>
                <w:kern w:val="0"/>
                <w:sz w:val="21"/>
                <w:szCs w:val="21"/>
              </w:rPr>
              <w:t>000头份/a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00头份</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吉霉素类、链霉素等抗生素类药品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杀虫剂</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30桶</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30桶</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5桶</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5L/桶</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主要为溴氰菊酯、双甲咪，针对蚊蝇，夏秋季节使用，由公路运输至厂内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脱硫剂</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0.2 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0.2 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2袋</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25kg/袋</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氧化铁，粒状，用于对沼气进行脱硫，交由厂家更换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卫可</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800</w:t>
            </w:r>
            <w:r>
              <w:rPr>
                <w:rFonts w:ascii="Times New Roman" w:hAnsi="Times New Roman" w:eastAsia="宋体" w:cs="Times New Roman"/>
                <w:kern w:val="0"/>
                <w:sz w:val="21"/>
                <w:szCs w:val="21"/>
              </w:rPr>
              <w:t>kg/a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800</w:t>
            </w:r>
            <w:r>
              <w:rPr>
                <w:rFonts w:ascii="Times New Roman" w:hAnsi="Times New Roman" w:eastAsia="宋体" w:cs="Times New Roman"/>
                <w:kern w:val="0"/>
                <w:sz w:val="21"/>
                <w:szCs w:val="21"/>
              </w:rPr>
              <w:t>kg/a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w:t>
            </w:r>
            <w:r>
              <w:rPr>
                <w:rFonts w:ascii="Times New Roman" w:hAnsi="Times New Roman" w:eastAsia="宋体" w:cs="Times New Roman"/>
                <w:kern w:val="0"/>
                <w:sz w:val="21"/>
                <w:szCs w:val="21"/>
              </w:rPr>
              <w:t>kg</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袋装</w:t>
            </w:r>
          </w:p>
        </w:tc>
        <w:tc>
          <w:tcPr>
            <w:tcW w:w="4022" w:type="dxa"/>
            <w:vMerge w:val="restart"/>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用于猪舍内消毒、洗手消毒及车辆消毒等。功能是迅速彻底杀灭皮肤黏膜表面的多种细菌、真菌、病毒等病原体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戊二醛</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800 L/</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800 L/</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w:t>
            </w:r>
            <w:r>
              <w:rPr>
                <w:rFonts w:ascii="Times New Roman" w:hAnsi="Times New Roman" w:eastAsia="宋体" w:cs="Times New Roman"/>
                <w:kern w:val="0"/>
                <w:sz w:val="21"/>
                <w:szCs w:val="21"/>
              </w:rPr>
              <w:t>L</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5L/桶</w:t>
            </w:r>
          </w:p>
        </w:tc>
        <w:tc>
          <w:tcPr>
            <w:tcW w:w="4022" w:type="dxa"/>
            <w:vMerge w:val="continue"/>
            <w:vAlign w:val="center"/>
          </w:tcPr>
          <w:p>
            <w:pPr>
              <w:adjustRightInd w:val="0"/>
              <w:snapToGrid w:val="0"/>
              <w:spacing w:line="28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过氧乙酸</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w:t>
            </w: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 xml:space="preserve"> L/</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w:t>
            </w: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 xml:space="preserve"> L/</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w:t>
            </w:r>
            <w:r>
              <w:rPr>
                <w:rFonts w:ascii="Times New Roman" w:hAnsi="Times New Roman" w:eastAsia="宋体" w:cs="Times New Roman"/>
                <w:kern w:val="0"/>
                <w:sz w:val="21"/>
                <w:szCs w:val="21"/>
              </w:rPr>
              <w:t>0L</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5L/桶</w:t>
            </w:r>
          </w:p>
        </w:tc>
        <w:tc>
          <w:tcPr>
            <w:tcW w:w="4022" w:type="dxa"/>
            <w:vMerge w:val="continue"/>
            <w:vAlign w:val="center"/>
          </w:tcPr>
          <w:p>
            <w:pPr>
              <w:adjustRightInd w:val="0"/>
              <w:snapToGrid w:val="0"/>
              <w:spacing w:line="28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次氯酸钠</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w:t>
            </w: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 xml:space="preserve"> kg/</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w:t>
            </w: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 xml:space="preserve"> kg/</w:t>
            </w:r>
            <w:r>
              <w:rPr>
                <w:rFonts w:ascii="Times New Roman" w:hAnsi="Times New Roman" w:eastAsia="宋体" w:cs="Times New Roman"/>
                <w:kern w:val="0"/>
                <w:sz w:val="21"/>
                <w:szCs w:val="21"/>
              </w:rPr>
              <w: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w:t>
            </w:r>
            <w:r>
              <w:rPr>
                <w:rFonts w:ascii="Times New Roman" w:hAnsi="Times New Roman" w:eastAsia="宋体" w:cs="Times New Roman"/>
                <w:kern w:val="0"/>
                <w:sz w:val="21"/>
                <w:szCs w:val="21"/>
              </w:rPr>
              <w:t>0kg</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袋装</w:t>
            </w:r>
          </w:p>
        </w:tc>
        <w:tc>
          <w:tcPr>
            <w:tcW w:w="4022" w:type="dxa"/>
            <w:vMerge w:val="continue"/>
            <w:vAlign w:val="center"/>
          </w:tcPr>
          <w:p>
            <w:pPr>
              <w:adjustRightInd w:val="0"/>
              <w:snapToGrid w:val="0"/>
              <w:spacing w:line="28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除臭剂</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250</w:t>
            </w:r>
            <w:r>
              <w:rPr>
                <w:rFonts w:ascii="Times New Roman" w:hAnsi="Times New Roman" w:eastAsia="宋体" w:cs="Times New Roman"/>
                <w:kern w:val="0"/>
                <w:sz w:val="21"/>
                <w:szCs w:val="21"/>
              </w:rPr>
              <w:t>kg</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250kg/桶装</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微生物除臭剂，使用方法：1kg 除臭剂加水稀释 100倍后使用喷雾器对圈舍地面、排水沟等进行喷洒，可减少蚊蝇、有害细菌的滋生以及消除环境的恶臭味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w:t>
            </w:r>
          </w:p>
        </w:tc>
        <w:tc>
          <w:tcPr>
            <w:tcW w:w="1387"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1t/a</w:t>
            </w:r>
          </w:p>
        </w:tc>
        <w:tc>
          <w:tcPr>
            <w:tcW w:w="993"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500L</w:t>
            </w:r>
          </w:p>
        </w:tc>
        <w:tc>
          <w:tcPr>
            <w:tcW w:w="994"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桶装</w:t>
            </w:r>
          </w:p>
        </w:tc>
        <w:tc>
          <w:tcPr>
            <w:tcW w:w="4022" w:type="dxa"/>
            <w:vAlign w:val="center"/>
          </w:tcPr>
          <w:p>
            <w:pPr>
              <w:adjustRightInd w:val="0"/>
              <w:snapToGrid w:val="0"/>
              <w:spacing w:line="28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厂区内发电机房暂存1个500L柴油桶</w:t>
            </w:r>
          </w:p>
        </w:tc>
      </w:tr>
    </w:tbl>
    <w:p>
      <w:pPr>
        <w:pStyle w:val="3"/>
        <w:rPr>
          <w:rFonts w:cs="Times New Roman"/>
          <w:szCs w:val="32"/>
        </w:rPr>
      </w:pPr>
      <w:bookmarkStart w:id="69" w:name="_Toc102039293"/>
      <w:bookmarkStart w:id="70" w:name="_Toc17966"/>
      <w:bookmarkStart w:id="71" w:name="_Toc6924"/>
      <w:r>
        <w:rPr>
          <w:rFonts w:cs="Times New Roman"/>
          <w:szCs w:val="32"/>
        </w:rPr>
        <w:t>3.4水源及水平衡</w:t>
      </w:r>
      <w:bookmarkEnd w:id="69"/>
    </w:p>
    <w:p>
      <w:pPr>
        <w:spacing w:line="440" w:lineRule="exact"/>
        <w:ind w:firstLine="480"/>
        <w:rPr>
          <w:rFonts w:ascii="Times New Roman" w:hAnsi="Times New Roman" w:eastAsia="宋体" w:cs="Times New Roman"/>
          <w:kern w:val="0"/>
        </w:rPr>
      </w:pPr>
      <w:r>
        <w:rPr>
          <w:rFonts w:ascii="Times New Roman" w:hAnsi="Times New Roman" w:eastAsia="宋体" w:cs="Times New Roman"/>
          <w:szCs w:val="20"/>
        </w:rPr>
        <w:t>根据现场踏勘，验收项目生产工序过程中</w:t>
      </w:r>
      <w:r>
        <w:rPr>
          <w:rFonts w:hint="eastAsia" w:ascii="Times New Roman" w:hAnsi="Times New Roman" w:eastAsia="宋体" w:cs="Times New Roman"/>
          <w:szCs w:val="20"/>
        </w:rPr>
        <w:t>用水情况为：生产用水、生活用水、水帘降温用水。</w:t>
      </w:r>
      <w:bookmarkStart w:id="72" w:name="_Hlk54001939"/>
      <w:r>
        <w:rPr>
          <w:rFonts w:ascii="Times New Roman" w:hAnsi="Times New Roman" w:eastAsia="宋体" w:cs="Times New Roman"/>
          <w:kern w:val="0"/>
        </w:rPr>
        <w:t>养殖场猪粪采用干清粪工艺，</w:t>
      </w:r>
      <w:r>
        <w:rPr>
          <w:rFonts w:hint="eastAsia" w:ascii="Times New Roman" w:hAnsi="Times New Roman" w:eastAsia="宋体" w:cs="Times New Roman"/>
          <w:kern w:val="0"/>
        </w:rPr>
        <w:t>猪粪刮粪机</w:t>
      </w:r>
      <w:r>
        <w:rPr>
          <w:rFonts w:ascii="Times New Roman" w:hAnsi="Times New Roman" w:eastAsia="宋体" w:cs="Times New Roman"/>
          <w:kern w:val="0"/>
        </w:rPr>
        <w:t>收集后，</w:t>
      </w:r>
      <w:r>
        <w:rPr>
          <w:rFonts w:hint="eastAsia" w:ascii="Times New Roman" w:hAnsi="Times New Roman" w:eastAsia="宋体" w:cs="Times New Roman"/>
          <w:kern w:val="0"/>
        </w:rPr>
        <w:t>进入密闭管道，猪尿重力流进入污水管道，</w:t>
      </w:r>
      <w:r>
        <w:rPr>
          <w:rFonts w:ascii="Times New Roman" w:hAnsi="Times New Roman" w:eastAsia="宋体" w:cs="Times New Roman"/>
          <w:kern w:val="0"/>
        </w:rPr>
        <w:t>圈舍内</w:t>
      </w:r>
      <w:r>
        <w:rPr>
          <w:rFonts w:hint="eastAsia" w:ascii="Times New Roman" w:hAnsi="Times New Roman" w:eastAsia="宋体" w:cs="Times New Roman"/>
          <w:kern w:val="0"/>
        </w:rPr>
        <w:t>剩余少量</w:t>
      </w:r>
      <w:r>
        <w:rPr>
          <w:rFonts w:ascii="Times New Roman" w:hAnsi="Times New Roman" w:eastAsia="宋体" w:cs="Times New Roman"/>
          <w:kern w:val="0"/>
        </w:rPr>
        <w:t>粪渣及尿液进行冲洗，形成的生产污水经管道收集后汇同场区生活污水进入污水处理系统。由于养殖场位于农村地区，周边有土地能够消纳全部处理后的污水。因此污水处理站采用《畜禽养殖业污染治理工程技术规范》（HJ497-2009）中推荐的模式</w:t>
      </w:r>
      <w:r>
        <w:rPr>
          <w:rFonts w:ascii="Times New Roman" w:hAnsi="Times New Roman" w:eastAsia="宋体" w:cs="Times New Roman"/>
          <w:kern w:val="0"/>
        </w:rPr>
        <w:fldChar w:fldCharType="begin"/>
      </w:r>
      <w:r>
        <w:rPr>
          <w:rFonts w:ascii="Times New Roman" w:hAnsi="Times New Roman" w:eastAsia="宋体" w:cs="Times New Roman"/>
          <w:kern w:val="0"/>
        </w:rPr>
        <w:instrText xml:space="preserve"> </w:instrText>
      </w:r>
      <w:r>
        <w:rPr>
          <w:rFonts w:hint="eastAsia" w:ascii="Times New Roman" w:hAnsi="Times New Roman" w:eastAsia="宋体" w:cs="Times New Roman"/>
          <w:kern w:val="0"/>
        </w:rPr>
        <w:instrText xml:space="preserve">= 1 \* ROMAN</w:instrText>
      </w:r>
      <w:r>
        <w:rPr>
          <w:rFonts w:ascii="Times New Roman" w:hAnsi="Times New Roman" w:eastAsia="宋体" w:cs="Times New Roman"/>
          <w:kern w:val="0"/>
        </w:rPr>
        <w:instrText xml:space="preserve"> </w:instrText>
      </w:r>
      <w:r>
        <w:rPr>
          <w:rFonts w:ascii="Times New Roman" w:hAnsi="Times New Roman" w:eastAsia="宋体" w:cs="Times New Roman"/>
          <w:kern w:val="0"/>
        </w:rPr>
        <w:fldChar w:fldCharType="separate"/>
      </w:r>
      <w:r>
        <w:rPr>
          <w:rFonts w:ascii="Times New Roman" w:hAnsi="Times New Roman" w:eastAsia="宋体" w:cs="Times New Roman"/>
          <w:kern w:val="0"/>
        </w:rPr>
        <w:t>I</w:t>
      </w:r>
      <w:r>
        <w:rPr>
          <w:rFonts w:ascii="Times New Roman" w:hAnsi="Times New Roman" w:eastAsia="宋体" w:cs="Times New Roman"/>
          <w:kern w:val="0"/>
        </w:rPr>
        <w:fldChar w:fldCharType="end"/>
      </w:r>
      <w:r>
        <w:rPr>
          <w:rFonts w:ascii="Times New Roman" w:hAnsi="Times New Roman" w:eastAsia="宋体" w:cs="Times New Roman"/>
          <w:kern w:val="0"/>
        </w:rPr>
        <w:t>处理工艺</w:t>
      </w:r>
      <w:r>
        <w:rPr>
          <w:rFonts w:hint="eastAsia" w:ascii="Times New Roman" w:hAnsi="Times New Roman" w:eastAsia="宋体" w:cs="Times New Roman"/>
          <w:kern w:val="0"/>
        </w:rPr>
        <w:t>，污水经处理沼液还田。</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生活区废水处理后与养殖区废水首先进入</w:t>
      </w:r>
      <w:r>
        <w:rPr>
          <w:rFonts w:hint="eastAsia" w:ascii="Times New Roman" w:hAnsi="Times New Roman" w:eastAsia="宋体" w:cs="Times New Roman"/>
          <w:kern w:val="0"/>
        </w:rPr>
        <w:t>集污池</w:t>
      </w:r>
      <w:r>
        <w:rPr>
          <w:rFonts w:ascii="Times New Roman" w:hAnsi="Times New Roman" w:eastAsia="宋体" w:cs="Times New Roman"/>
          <w:kern w:val="0"/>
        </w:rPr>
        <w:t>由泵输送至固液分离机处理后，干粪送至</w:t>
      </w:r>
      <w:r>
        <w:rPr>
          <w:rFonts w:hint="eastAsia" w:ascii="Times New Roman" w:hAnsi="Times New Roman" w:eastAsia="宋体" w:cs="Times New Roman"/>
          <w:kern w:val="0"/>
        </w:rPr>
        <w:t>猪粪暂存池后外运至第三方单位处理用于生产有机肥料</w:t>
      </w:r>
      <w:r>
        <w:rPr>
          <w:rFonts w:ascii="Times New Roman" w:hAnsi="Times New Roman" w:eastAsia="宋体" w:cs="Times New Roman"/>
          <w:kern w:val="0"/>
        </w:rPr>
        <w:t>，液体进入调节池进行水质调节，之后自流进入厌氧发酵池。</w:t>
      </w:r>
      <w:r>
        <w:rPr>
          <w:rFonts w:hint="eastAsia" w:ascii="Times New Roman" w:hAnsi="Times New Roman" w:eastAsia="宋体" w:cs="Times New Roman"/>
          <w:kern w:val="0"/>
        </w:rPr>
        <w:t>该</w:t>
      </w:r>
      <w:r>
        <w:rPr>
          <w:rFonts w:ascii="Times New Roman" w:hAnsi="Times New Roman" w:eastAsia="宋体" w:cs="Times New Roman"/>
          <w:kern w:val="0"/>
        </w:rPr>
        <w:t>发酵池适用于高悬浮固体有机物原料的反应器，具有适应性广，抗冲击负荷能力较强、不易堵塞、不结壳、处理效果稳定等优点。钢筋混凝土技术利用钢筋的抗拉强度和混凝土的抗压强度上各自的优势，实现优势互补，通过现场浇注，可以得到较好的强度和防水性能的池体，由于混凝土具有耐酸碱，耐温便等的性能，能够很好的保护内部钢筋，使之免受腐蚀，因此结构具有很好的防腐性能，结构成型后，进行简单的防腐和防渗处理就可以满足工程需要，使用寿命长，可达50年，后期维护和运行管理费用较低。</w:t>
      </w:r>
      <w:bookmarkEnd w:id="72"/>
    </w:p>
    <w:p>
      <w:pPr>
        <w:adjustRightInd w:val="0"/>
        <w:spacing w:line="360" w:lineRule="auto"/>
        <w:ind w:firstLine="480" w:firstLineChars="200"/>
        <w:rPr>
          <w:rFonts w:ascii="Times New Roman" w:hAnsi="Times New Roman" w:eastAsia="宋体" w:cs="Times New Roman"/>
          <w:color w:val="000000"/>
          <w:szCs w:val="20"/>
        </w:rPr>
      </w:pPr>
      <w:r>
        <w:rPr>
          <w:rFonts w:ascii="Times New Roman" w:hAnsi="Times New Roman" w:eastAsia="宋体" w:cs="Times New Roman"/>
          <w:szCs w:val="20"/>
        </w:rPr>
        <w:t>验收项目生产过程废水排放情况见</w:t>
      </w:r>
      <w:r>
        <w:rPr>
          <w:rFonts w:ascii="Times New Roman" w:hAnsi="Times New Roman" w:eastAsia="宋体" w:cs="Times New Roman"/>
          <w:color w:val="000000"/>
          <w:szCs w:val="20"/>
        </w:rPr>
        <w:t>表3.4-1，水平衡图见图3.4-1。</w:t>
      </w:r>
    </w:p>
    <w:p>
      <w:pPr>
        <w:adjustRightInd w:val="0"/>
        <w:spacing w:line="360" w:lineRule="auto"/>
        <w:ind w:firstLine="482" w:firstLineChars="200"/>
        <w:jc w:val="center"/>
        <w:rPr>
          <w:rFonts w:ascii="Times New Roman" w:hAnsi="Times New Roman" w:eastAsia="宋体" w:cs="Times New Roman"/>
          <w:b/>
          <w:bCs/>
          <w:color w:val="000000"/>
          <w:szCs w:val="20"/>
        </w:rPr>
      </w:pPr>
      <w:r>
        <w:rPr>
          <w:rFonts w:ascii="Times New Roman" w:hAnsi="Times New Roman" w:eastAsia="宋体" w:cs="Times New Roman"/>
          <w:b/>
          <w:bCs/>
          <w:color w:val="000000"/>
          <w:szCs w:val="20"/>
        </w:rPr>
        <w:t>表3.4-1    验收项目生产过程废水排放情况一览表</w:t>
      </w:r>
    </w:p>
    <w:tbl>
      <w:tblPr>
        <w:tblStyle w:val="47"/>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
        <w:gridCol w:w="1419"/>
        <w:gridCol w:w="1276"/>
        <w:gridCol w:w="850"/>
        <w:gridCol w:w="1276"/>
        <w:gridCol w:w="1276"/>
        <w:gridCol w:w="1275"/>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1731" w:type="dxa"/>
            <w:gridSpan w:val="2"/>
            <w:vMerge w:val="restart"/>
            <w:vAlign w:val="center"/>
          </w:tcPr>
          <w:p>
            <w:pPr>
              <w:autoSpaceDE w:val="0"/>
              <w:autoSpaceDN w:val="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用水类别</w:t>
            </w:r>
          </w:p>
        </w:tc>
        <w:tc>
          <w:tcPr>
            <w:tcW w:w="1276" w:type="dxa"/>
            <w:vMerge w:val="restart"/>
            <w:vAlign w:val="center"/>
          </w:tcPr>
          <w:p>
            <w:pPr>
              <w:autoSpaceDE w:val="0"/>
              <w:autoSpaceDN w:val="0"/>
              <w:ind w:left="195" w:right="196"/>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定额</w:t>
            </w:r>
          </w:p>
        </w:tc>
        <w:tc>
          <w:tcPr>
            <w:tcW w:w="850" w:type="dxa"/>
            <w:vMerge w:val="restart"/>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lang w:eastAsia="en-US"/>
              </w:rPr>
              <w:t>用水</w:t>
            </w:r>
          </w:p>
          <w:p>
            <w:pPr>
              <w:autoSpaceDE w:val="0"/>
              <w:autoSpaceDN w:val="0"/>
              <w:ind w:left="101" w:right="102"/>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规模</w:t>
            </w:r>
          </w:p>
        </w:tc>
        <w:tc>
          <w:tcPr>
            <w:tcW w:w="2552" w:type="dxa"/>
            <w:gridSpan w:val="2"/>
            <w:vAlign w:val="center"/>
          </w:tcPr>
          <w:p>
            <w:pPr>
              <w:autoSpaceDE w:val="0"/>
              <w:autoSpaceDN w:val="0"/>
              <w:ind w:left="101" w:right="102"/>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用水量</w:t>
            </w:r>
          </w:p>
        </w:tc>
        <w:tc>
          <w:tcPr>
            <w:tcW w:w="2522" w:type="dxa"/>
            <w:gridSpan w:val="2"/>
            <w:vAlign w:val="center"/>
          </w:tcPr>
          <w:p>
            <w:pPr>
              <w:autoSpaceDE w:val="0"/>
              <w:autoSpaceDN w:val="0"/>
              <w:ind w:left="101" w:right="102"/>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排水量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1731" w:type="dxa"/>
            <w:gridSpan w:val="2"/>
            <w:vMerge w:val="continue"/>
            <w:vAlign w:val="center"/>
          </w:tcPr>
          <w:p>
            <w:pPr>
              <w:autoSpaceDE w:val="0"/>
              <w:autoSpaceDN w:val="0"/>
              <w:ind w:right="886"/>
              <w:jc w:val="center"/>
              <w:rPr>
                <w:rFonts w:ascii="Times New Roman" w:hAnsi="Times New Roman" w:eastAsia="宋体" w:cs="Times New Roman"/>
                <w:kern w:val="0"/>
                <w:sz w:val="21"/>
                <w:szCs w:val="21"/>
                <w:lang w:eastAsia="en-US"/>
              </w:rPr>
            </w:pPr>
          </w:p>
        </w:tc>
        <w:tc>
          <w:tcPr>
            <w:tcW w:w="1276" w:type="dxa"/>
            <w:vMerge w:val="continue"/>
            <w:vAlign w:val="center"/>
          </w:tcPr>
          <w:p>
            <w:pPr>
              <w:autoSpaceDE w:val="0"/>
              <w:autoSpaceDN w:val="0"/>
              <w:ind w:left="195" w:right="196"/>
              <w:jc w:val="center"/>
              <w:rPr>
                <w:rFonts w:ascii="Times New Roman" w:hAnsi="Times New Roman" w:eastAsia="宋体" w:cs="Times New Roman"/>
                <w:kern w:val="0"/>
                <w:sz w:val="21"/>
                <w:szCs w:val="21"/>
                <w:lang w:eastAsia="en-US"/>
              </w:rPr>
            </w:pPr>
          </w:p>
        </w:tc>
        <w:tc>
          <w:tcPr>
            <w:tcW w:w="850" w:type="dxa"/>
            <w:vMerge w:val="continue"/>
            <w:vAlign w:val="center"/>
          </w:tcPr>
          <w:p>
            <w:pPr>
              <w:autoSpaceDE w:val="0"/>
              <w:autoSpaceDN w:val="0"/>
              <w:ind w:left="101" w:right="102"/>
              <w:jc w:val="center"/>
              <w:rPr>
                <w:rFonts w:ascii="Times New Roman" w:hAnsi="Times New Roman" w:eastAsia="宋体" w:cs="Times New Roman"/>
                <w:kern w:val="0"/>
                <w:sz w:val="21"/>
                <w:szCs w:val="21"/>
                <w:lang w:eastAsia="en-US"/>
              </w:rPr>
            </w:pPr>
          </w:p>
        </w:tc>
        <w:tc>
          <w:tcPr>
            <w:tcW w:w="1276" w:type="dxa"/>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lang w:eastAsia="en-US"/>
              </w:rPr>
              <w:t>m</w:t>
            </w:r>
            <w:r>
              <w:rPr>
                <w:rFonts w:ascii="Times New Roman" w:hAnsi="Times New Roman" w:eastAsia="宋体" w:cs="Times New Roman"/>
                <w:kern w:val="0"/>
                <w:sz w:val="21"/>
                <w:szCs w:val="21"/>
                <w:vertAlign w:val="superscript"/>
                <w:lang w:eastAsia="en-US"/>
              </w:rPr>
              <w:t>3</w:t>
            </w:r>
            <w:r>
              <w:rPr>
                <w:rFonts w:ascii="Times New Roman" w:hAnsi="Times New Roman" w:eastAsia="宋体" w:cs="Times New Roman"/>
                <w:kern w:val="0"/>
                <w:sz w:val="21"/>
                <w:szCs w:val="21"/>
                <w:lang w:eastAsia="en-US"/>
              </w:rPr>
              <w:t>/</w:t>
            </w:r>
            <w:r>
              <w:rPr>
                <w:rFonts w:hint="eastAsia" w:ascii="Times New Roman" w:hAnsi="Times New Roman" w:eastAsia="宋体" w:cs="Times New Roman"/>
                <w:kern w:val="0"/>
                <w:sz w:val="21"/>
                <w:szCs w:val="21"/>
              </w:rPr>
              <w:t>d</w:t>
            </w:r>
          </w:p>
        </w:tc>
        <w:tc>
          <w:tcPr>
            <w:tcW w:w="1276" w:type="dxa"/>
            <w:vAlign w:val="center"/>
          </w:tcPr>
          <w:p>
            <w:pPr>
              <w:autoSpaceDE w:val="0"/>
              <w:autoSpaceDN w:val="0"/>
              <w:ind w:left="101" w:right="102"/>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m</w:t>
            </w:r>
            <w:r>
              <w:rPr>
                <w:rFonts w:ascii="Times New Roman" w:hAnsi="Times New Roman" w:eastAsia="宋体" w:cs="Times New Roman"/>
                <w:kern w:val="0"/>
                <w:sz w:val="21"/>
                <w:szCs w:val="21"/>
                <w:vertAlign w:val="superscript"/>
                <w:lang w:eastAsia="en-US"/>
              </w:rPr>
              <w:t>3</w:t>
            </w:r>
            <w:r>
              <w:rPr>
                <w:rFonts w:ascii="Times New Roman" w:hAnsi="Times New Roman" w:eastAsia="宋体" w:cs="Times New Roman"/>
                <w:kern w:val="0"/>
                <w:sz w:val="21"/>
                <w:szCs w:val="21"/>
                <w:lang w:eastAsia="en-US"/>
              </w:rPr>
              <w:t>/a</w:t>
            </w:r>
          </w:p>
        </w:tc>
        <w:tc>
          <w:tcPr>
            <w:tcW w:w="1275" w:type="dxa"/>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lang w:eastAsia="en-US"/>
              </w:rPr>
              <w:t>m</w:t>
            </w:r>
            <w:r>
              <w:rPr>
                <w:rFonts w:ascii="Times New Roman" w:hAnsi="Times New Roman" w:eastAsia="宋体" w:cs="Times New Roman"/>
                <w:kern w:val="0"/>
                <w:sz w:val="21"/>
                <w:szCs w:val="21"/>
                <w:vertAlign w:val="superscript"/>
                <w:lang w:eastAsia="en-US"/>
              </w:rPr>
              <w:t>3</w:t>
            </w:r>
            <w:r>
              <w:rPr>
                <w:rFonts w:ascii="Times New Roman" w:hAnsi="Times New Roman" w:eastAsia="宋体" w:cs="Times New Roman"/>
                <w:kern w:val="0"/>
                <w:sz w:val="21"/>
                <w:szCs w:val="21"/>
                <w:lang w:eastAsia="en-US"/>
              </w:rPr>
              <w:t>/</w:t>
            </w:r>
            <w:r>
              <w:rPr>
                <w:rFonts w:hint="eastAsia" w:ascii="Times New Roman" w:hAnsi="Times New Roman" w:eastAsia="宋体" w:cs="Times New Roman"/>
                <w:kern w:val="0"/>
                <w:sz w:val="21"/>
                <w:szCs w:val="21"/>
              </w:rPr>
              <w:t>d</w:t>
            </w:r>
          </w:p>
        </w:tc>
        <w:tc>
          <w:tcPr>
            <w:tcW w:w="1247" w:type="dxa"/>
            <w:vAlign w:val="center"/>
          </w:tcPr>
          <w:p>
            <w:pPr>
              <w:autoSpaceDE w:val="0"/>
              <w:autoSpaceDN w:val="0"/>
              <w:ind w:left="101" w:right="102"/>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m</w:t>
            </w:r>
            <w:r>
              <w:rPr>
                <w:rFonts w:ascii="Times New Roman" w:hAnsi="Times New Roman" w:eastAsia="宋体" w:cs="Times New Roman"/>
                <w:kern w:val="0"/>
                <w:sz w:val="21"/>
                <w:szCs w:val="21"/>
                <w:vertAlign w:val="superscript"/>
                <w:lang w:eastAsia="en-US"/>
              </w:rPr>
              <w:t>3</w:t>
            </w:r>
            <w:r>
              <w:rPr>
                <w:rFonts w:ascii="Times New Roman" w:hAnsi="Times New Roman" w:eastAsia="宋体" w:cs="Times New Roman"/>
                <w:kern w:val="0"/>
                <w:sz w:val="21"/>
                <w:szCs w:val="21"/>
                <w:lang w:eastAsia="en-US"/>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jc w:val="center"/>
        </w:trPr>
        <w:tc>
          <w:tcPr>
            <w:tcW w:w="312" w:type="dxa"/>
            <w:vMerge w:val="restart"/>
            <w:vAlign w:val="center"/>
          </w:tcPr>
          <w:p>
            <w:pPr>
              <w:autoSpaceDE w:val="0"/>
              <w:autoSpaceDN w:val="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养殖区</w:t>
            </w:r>
          </w:p>
        </w:tc>
        <w:tc>
          <w:tcPr>
            <w:tcW w:w="1419" w:type="dxa"/>
            <w:vAlign w:val="center"/>
          </w:tcPr>
          <w:p>
            <w:pPr>
              <w:autoSpaceDE w:val="0"/>
              <w:autoSpaceDN w:val="0"/>
              <w:ind w:left="89" w:right="9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猪只饮用水</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850" w:type="dxa"/>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276" w:type="dxa"/>
            <w:vAlign w:val="center"/>
          </w:tcPr>
          <w:p>
            <w:pPr>
              <w:autoSpaceDE w:val="0"/>
              <w:autoSpaceDN w:val="0"/>
              <w:ind w:left="101" w:right="10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163.04</w:t>
            </w:r>
          </w:p>
        </w:tc>
        <w:tc>
          <w:tcPr>
            <w:tcW w:w="1276" w:type="dxa"/>
            <w:vAlign w:val="center"/>
          </w:tcPr>
          <w:p>
            <w:pPr>
              <w:autoSpaceDE w:val="0"/>
              <w:autoSpaceDN w:val="0"/>
              <w:ind w:left="101" w:right="102"/>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14541.8</w:t>
            </w:r>
          </w:p>
        </w:tc>
        <w:tc>
          <w:tcPr>
            <w:tcW w:w="1275" w:type="dxa"/>
            <w:vAlign w:val="center"/>
          </w:tcPr>
          <w:p>
            <w:pPr>
              <w:autoSpaceDE w:val="0"/>
              <w:autoSpaceDN w:val="0"/>
              <w:ind w:left="101" w:right="102"/>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20.4</w:t>
            </w:r>
          </w:p>
        </w:tc>
        <w:tc>
          <w:tcPr>
            <w:tcW w:w="1247" w:type="dxa"/>
            <w:vAlign w:val="center"/>
          </w:tcPr>
          <w:p>
            <w:pPr>
              <w:autoSpaceDE w:val="0"/>
              <w:autoSpaceDN w:val="0"/>
              <w:ind w:left="101" w:right="102"/>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7434.2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exact"/>
          <w:jc w:val="center"/>
        </w:trPr>
        <w:tc>
          <w:tcPr>
            <w:tcW w:w="312" w:type="dxa"/>
            <w:vMerge w:val="continue"/>
            <w:vAlign w:val="center"/>
          </w:tcPr>
          <w:p>
            <w:pPr>
              <w:autoSpaceDE w:val="0"/>
              <w:autoSpaceDN w:val="0"/>
              <w:jc w:val="center"/>
              <w:rPr>
                <w:rFonts w:ascii="Times New Roman" w:hAnsi="Times New Roman" w:eastAsia="宋体" w:cs="Times New Roman"/>
                <w:kern w:val="0"/>
                <w:sz w:val="21"/>
                <w:szCs w:val="21"/>
                <w:lang w:eastAsia="en-US"/>
              </w:rPr>
            </w:pPr>
          </w:p>
        </w:tc>
        <w:tc>
          <w:tcPr>
            <w:tcW w:w="1419"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圈舍冲洗用水</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15L/m</w:t>
            </w:r>
            <w:r>
              <w:rPr>
                <w:rFonts w:ascii="Times New Roman" w:hAnsi="Times New Roman" w:eastAsia="宋体" w:cs="Times New Roman"/>
                <w:kern w:val="0"/>
                <w:sz w:val="21"/>
                <w:szCs w:val="21"/>
                <w:vertAlign w:val="superscript"/>
              </w:rPr>
              <w:t>2</w:t>
            </w:r>
            <w:r>
              <w:rPr>
                <w:rFonts w:ascii="Times New Roman" w:hAnsi="Times New Roman" w:eastAsia="宋体" w:cs="Times New Roman"/>
                <w:kern w:val="0"/>
                <w:sz w:val="21"/>
                <w:szCs w:val="21"/>
              </w:rPr>
              <w:t>·次</w:t>
            </w:r>
          </w:p>
        </w:tc>
        <w:tc>
          <w:tcPr>
            <w:tcW w:w="850"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180（一次最大）</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962.1</w:t>
            </w:r>
          </w:p>
        </w:tc>
        <w:tc>
          <w:tcPr>
            <w:tcW w:w="1275" w:type="dxa"/>
            <w:vAlign w:val="center"/>
          </w:tcPr>
          <w:p>
            <w:pPr>
              <w:autoSpaceDE w:val="0"/>
              <w:autoSpaceDN w:val="0"/>
              <w:ind w:left="196" w:right="196"/>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162（一次最大）</w:t>
            </w:r>
          </w:p>
        </w:tc>
        <w:tc>
          <w:tcPr>
            <w:tcW w:w="1247" w:type="dxa"/>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865.9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12" w:type="dxa"/>
            <w:vMerge w:val="continue"/>
            <w:vAlign w:val="center"/>
          </w:tcPr>
          <w:p>
            <w:pPr>
              <w:autoSpaceDE w:val="0"/>
              <w:autoSpaceDN w:val="0"/>
              <w:jc w:val="center"/>
              <w:rPr>
                <w:rFonts w:ascii="Times New Roman" w:hAnsi="Times New Roman" w:eastAsia="宋体" w:cs="Times New Roman"/>
                <w:kern w:val="0"/>
                <w:sz w:val="21"/>
                <w:szCs w:val="21"/>
                <w:lang w:eastAsia="en-US"/>
              </w:rPr>
            </w:pPr>
          </w:p>
        </w:tc>
        <w:tc>
          <w:tcPr>
            <w:tcW w:w="1419" w:type="dxa"/>
            <w:vAlign w:val="center"/>
          </w:tcPr>
          <w:p>
            <w:pPr>
              <w:autoSpaceDE w:val="0"/>
              <w:autoSpaceDN w:val="0"/>
              <w:ind w:left="90" w:right="9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水帘补充循环水</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5.0m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lang w:eastAsia="en-US"/>
              </w:rPr>
              <w:t>/d</w:t>
            </w:r>
          </w:p>
        </w:tc>
        <w:tc>
          <w:tcPr>
            <w:tcW w:w="850" w:type="dxa"/>
            <w:vAlign w:val="center"/>
          </w:tcPr>
          <w:p>
            <w:pPr>
              <w:autoSpaceDE w:val="0"/>
              <w:autoSpaceDN w:val="0"/>
              <w:ind w:left="1"/>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rPr>
              <w:t>15</w:t>
            </w:r>
            <w:r>
              <w:rPr>
                <w:rFonts w:hint="eastAsia" w:ascii="Times New Roman" w:hAnsi="Times New Roman" w:eastAsia="宋体" w:cs="Times New Roman"/>
                <w:kern w:val="0"/>
                <w:sz w:val="21"/>
                <w:szCs w:val="21"/>
              </w:rPr>
              <w:t>0d</w:t>
            </w:r>
          </w:p>
        </w:tc>
        <w:tc>
          <w:tcPr>
            <w:tcW w:w="1276" w:type="dxa"/>
            <w:vAlign w:val="center"/>
          </w:tcPr>
          <w:p>
            <w:pPr>
              <w:autoSpaceDE w:val="0"/>
              <w:autoSpaceDN w:val="0"/>
              <w:ind w:left="101" w:right="10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5.0</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rPr>
              <w:t>750</w:t>
            </w:r>
          </w:p>
        </w:tc>
        <w:tc>
          <w:tcPr>
            <w:tcW w:w="1275" w:type="dxa"/>
            <w:vAlign w:val="center"/>
          </w:tcPr>
          <w:p>
            <w:pPr>
              <w:autoSpaceDE w:val="0"/>
              <w:autoSpaceDN w:val="0"/>
              <w:ind w:right="1"/>
              <w:jc w:val="center"/>
              <w:rPr>
                <w:rFonts w:ascii="Times New Roman" w:hAnsi="Times New Roman" w:eastAsia="宋体" w:cs="Times New Roman"/>
                <w:w w:val="99"/>
                <w:kern w:val="0"/>
                <w:sz w:val="21"/>
                <w:szCs w:val="21"/>
                <w:lang w:eastAsia="en-US"/>
              </w:rPr>
            </w:pPr>
            <w:r>
              <w:rPr>
                <w:rFonts w:ascii="Times New Roman" w:hAnsi="Times New Roman" w:eastAsia="宋体" w:cs="Times New Roman"/>
                <w:w w:val="99"/>
                <w:kern w:val="0"/>
                <w:sz w:val="21"/>
                <w:szCs w:val="21"/>
                <w:lang w:eastAsia="en-US"/>
              </w:rPr>
              <w:t>/</w:t>
            </w:r>
          </w:p>
        </w:tc>
        <w:tc>
          <w:tcPr>
            <w:tcW w:w="1247" w:type="dxa"/>
            <w:vAlign w:val="center"/>
          </w:tcPr>
          <w:p>
            <w:pPr>
              <w:autoSpaceDE w:val="0"/>
              <w:autoSpaceDN w:val="0"/>
              <w:ind w:right="1"/>
              <w:jc w:val="center"/>
              <w:rPr>
                <w:rFonts w:ascii="Times New Roman" w:hAnsi="Times New Roman" w:eastAsia="宋体" w:cs="Times New Roman"/>
                <w:w w:val="99"/>
                <w:kern w:val="0"/>
                <w:sz w:val="21"/>
                <w:szCs w:val="21"/>
                <w:lang w:eastAsia="en-US"/>
              </w:rPr>
            </w:pPr>
            <w:r>
              <w:rPr>
                <w:rFonts w:ascii="Times New Roman" w:hAnsi="Times New Roman" w:eastAsia="宋体" w:cs="Times New Roman"/>
                <w:w w:val="99"/>
                <w:kern w:val="0"/>
                <w:sz w:val="21"/>
                <w:szCs w:val="21"/>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exact"/>
          <w:jc w:val="center"/>
        </w:trPr>
        <w:tc>
          <w:tcPr>
            <w:tcW w:w="312" w:type="dxa"/>
            <w:vMerge w:val="continue"/>
            <w:vAlign w:val="center"/>
          </w:tcPr>
          <w:p>
            <w:pPr>
              <w:autoSpaceDE w:val="0"/>
              <w:autoSpaceDN w:val="0"/>
              <w:jc w:val="center"/>
              <w:rPr>
                <w:rFonts w:ascii="Times New Roman" w:hAnsi="Times New Roman" w:eastAsia="宋体" w:cs="Times New Roman"/>
                <w:kern w:val="0"/>
                <w:sz w:val="21"/>
                <w:szCs w:val="21"/>
                <w:lang w:eastAsia="en-US"/>
              </w:rPr>
            </w:pPr>
          </w:p>
        </w:tc>
        <w:tc>
          <w:tcPr>
            <w:tcW w:w="1419" w:type="dxa"/>
            <w:vAlign w:val="center"/>
          </w:tcPr>
          <w:p>
            <w:pPr>
              <w:autoSpaceDE w:val="0"/>
              <w:autoSpaceDN w:val="0"/>
              <w:ind w:left="87" w:right="9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小计</w:t>
            </w:r>
          </w:p>
        </w:tc>
        <w:tc>
          <w:tcPr>
            <w:tcW w:w="1276" w:type="dxa"/>
            <w:vAlign w:val="center"/>
          </w:tcPr>
          <w:p>
            <w:pPr>
              <w:autoSpaceDE w:val="0"/>
              <w:autoSpaceDN w:val="0"/>
              <w:ind w:right="1"/>
              <w:jc w:val="center"/>
              <w:rPr>
                <w:rFonts w:ascii="Times New Roman" w:hAnsi="Times New Roman" w:eastAsia="宋体" w:cs="Times New Roman"/>
                <w:kern w:val="0"/>
                <w:sz w:val="21"/>
                <w:szCs w:val="21"/>
                <w:lang w:eastAsia="en-US"/>
              </w:rPr>
            </w:pPr>
            <w:r>
              <w:rPr>
                <w:rFonts w:ascii="Times New Roman" w:hAnsi="Times New Roman" w:eastAsia="宋体" w:cs="Times New Roman"/>
                <w:w w:val="99"/>
                <w:kern w:val="0"/>
                <w:sz w:val="21"/>
                <w:szCs w:val="21"/>
                <w:lang w:eastAsia="en-US"/>
              </w:rPr>
              <w:t>/</w:t>
            </w:r>
          </w:p>
        </w:tc>
        <w:tc>
          <w:tcPr>
            <w:tcW w:w="850" w:type="dxa"/>
            <w:vAlign w:val="center"/>
          </w:tcPr>
          <w:p>
            <w:pPr>
              <w:autoSpaceDE w:val="0"/>
              <w:autoSpaceDN w:val="0"/>
              <w:ind w:left="1"/>
              <w:jc w:val="center"/>
              <w:rPr>
                <w:rFonts w:ascii="Times New Roman" w:hAnsi="Times New Roman" w:eastAsia="宋体" w:cs="Times New Roman"/>
                <w:kern w:val="0"/>
                <w:sz w:val="21"/>
                <w:szCs w:val="21"/>
                <w:lang w:eastAsia="en-US"/>
              </w:rPr>
            </w:pPr>
            <w:r>
              <w:rPr>
                <w:rFonts w:ascii="Times New Roman" w:hAnsi="Times New Roman" w:eastAsia="宋体" w:cs="Times New Roman"/>
                <w:w w:val="99"/>
                <w:kern w:val="0"/>
                <w:sz w:val="21"/>
                <w:szCs w:val="21"/>
                <w:lang w:eastAsia="en-US"/>
              </w:rPr>
              <w:t>/</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348.04</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16253.9</w:t>
            </w:r>
          </w:p>
        </w:tc>
        <w:tc>
          <w:tcPr>
            <w:tcW w:w="1275"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182.4</w:t>
            </w:r>
          </w:p>
        </w:tc>
        <w:tc>
          <w:tcPr>
            <w:tcW w:w="1247"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8300.1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1731" w:type="dxa"/>
            <w:gridSpan w:val="2"/>
            <w:vAlign w:val="center"/>
          </w:tcPr>
          <w:p>
            <w:pPr>
              <w:autoSpaceDE w:val="0"/>
              <w:autoSpaceDN w:val="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办公及生活用水</w:t>
            </w:r>
          </w:p>
        </w:tc>
        <w:tc>
          <w:tcPr>
            <w:tcW w:w="1276" w:type="dxa"/>
            <w:vAlign w:val="center"/>
          </w:tcPr>
          <w:p>
            <w:pPr>
              <w:autoSpaceDE w:val="0"/>
              <w:autoSpaceDN w:val="0"/>
              <w:ind w:left="1"/>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200L/</w:t>
            </w:r>
            <w:r>
              <w:rPr>
                <w:rFonts w:hint="eastAsia" w:ascii="Times New Roman" w:hAnsi="Times New Roman" w:eastAsia="宋体" w:cs="Times New Roman"/>
                <w:kern w:val="0"/>
                <w:sz w:val="21"/>
                <w:szCs w:val="21"/>
                <w:lang w:eastAsia="en-US"/>
              </w:rPr>
              <w:t>人</w:t>
            </w:r>
            <w:r>
              <w:rPr>
                <w:rFonts w:ascii="Times New Roman" w:hAnsi="Times New Roman" w:eastAsia="宋体" w:cs="Times New Roman"/>
                <w:kern w:val="0"/>
                <w:sz w:val="21"/>
                <w:szCs w:val="21"/>
                <w:lang w:eastAsia="en-US"/>
              </w:rPr>
              <w:t>·d</w:t>
            </w:r>
          </w:p>
        </w:tc>
        <w:tc>
          <w:tcPr>
            <w:tcW w:w="850" w:type="dxa"/>
            <w:vAlign w:val="center"/>
          </w:tcPr>
          <w:p>
            <w:pPr>
              <w:autoSpaceDE w:val="0"/>
              <w:autoSpaceDN w:val="0"/>
              <w:ind w:left="101" w:right="102"/>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15人</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1095</w:t>
            </w:r>
          </w:p>
        </w:tc>
        <w:tc>
          <w:tcPr>
            <w:tcW w:w="1275"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w:t>
            </w:r>
          </w:p>
        </w:tc>
        <w:tc>
          <w:tcPr>
            <w:tcW w:w="1247"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exact"/>
          <w:jc w:val="center"/>
        </w:trPr>
        <w:tc>
          <w:tcPr>
            <w:tcW w:w="1731" w:type="dxa"/>
            <w:gridSpan w:val="2"/>
            <w:vAlign w:val="center"/>
          </w:tcPr>
          <w:p>
            <w:pPr>
              <w:autoSpaceDE w:val="0"/>
              <w:autoSpaceDN w:val="0"/>
              <w:jc w:val="center"/>
              <w:rPr>
                <w:rFonts w:ascii="Times New Roman" w:hAnsi="Times New Roman" w:eastAsia="宋体" w:cs="Times New Roman"/>
                <w:kern w:val="0"/>
                <w:sz w:val="21"/>
                <w:szCs w:val="21"/>
                <w:lang w:eastAsia="en-US"/>
              </w:rPr>
            </w:pPr>
            <w:r>
              <w:rPr>
                <w:rFonts w:ascii="Times New Roman" w:hAnsi="Times New Roman" w:eastAsia="宋体" w:cs="Times New Roman"/>
                <w:kern w:val="0"/>
                <w:sz w:val="21"/>
                <w:szCs w:val="21"/>
                <w:lang w:eastAsia="en-US"/>
              </w:rPr>
              <w:t>合计(m</w:t>
            </w:r>
            <w:r>
              <w:rPr>
                <w:rFonts w:ascii="Times New Roman" w:hAnsi="Times New Roman" w:eastAsia="宋体" w:cs="Times New Roman"/>
                <w:w w:val="99"/>
                <w:kern w:val="0"/>
                <w:sz w:val="21"/>
                <w:szCs w:val="21"/>
                <w:vertAlign w:val="superscript"/>
              </w:rPr>
              <w:t>3</w:t>
            </w:r>
            <w:r>
              <w:rPr>
                <w:rFonts w:ascii="Times New Roman" w:hAnsi="Times New Roman" w:eastAsia="宋体" w:cs="Times New Roman"/>
                <w:kern w:val="0"/>
                <w:sz w:val="21"/>
                <w:szCs w:val="21"/>
                <w:lang w:eastAsia="en-US"/>
              </w:rPr>
              <w:t>/d)</w:t>
            </w:r>
          </w:p>
        </w:tc>
        <w:tc>
          <w:tcPr>
            <w:tcW w:w="1276" w:type="dxa"/>
            <w:vAlign w:val="center"/>
          </w:tcPr>
          <w:p>
            <w:pPr>
              <w:autoSpaceDE w:val="0"/>
              <w:autoSpaceDN w:val="0"/>
              <w:spacing w:before="37"/>
              <w:ind w:right="1"/>
              <w:jc w:val="center"/>
              <w:rPr>
                <w:rFonts w:ascii="Times New Roman" w:hAnsi="Times New Roman" w:eastAsia="宋体" w:cs="Times New Roman"/>
                <w:kern w:val="0"/>
                <w:sz w:val="21"/>
                <w:szCs w:val="21"/>
              </w:rPr>
            </w:pPr>
          </w:p>
        </w:tc>
        <w:tc>
          <w:tcPr>
            <w:tcW w:w="850" w:type="dxa"/>
            <w:vAlign w:val="center"/>
          </w:tcPr>
          <w:p>
            <w:pPr>
              <w:autoSpaceDE w:val="0"/>
              <w:autoSpaceDN w:val="0"/>
              <w:spacing w:before="37"/>
              <w:ind w:left="1"/>
              <w:jc w:val="center"/>
              <w:rPr>
                <w:rFonts w:ascii="Times New Roman" w:hAnsi="Times New Roman" w:eastAsia="宋体" w:cs="Times New Roman"/>
                <w:kern w:val="0"/>
                <w:sz w:val="21"/>
                <w:szCs w:val="21"/>
                <w:lang w:eastAsia="en-US"/>
              </w:rPr>
            </w:pPr>
            <w:r>
              <w:rPr>
                <w:rFonts w:ascii="Times New Roman" w:hAnsi="Times New Roman" w:eastAsia="宋体" w:cs="Times New Roman"/>
                <w:w w:val="99"/>
                <w:kern w:val="0"/>
                <w:sz w:val="21"/>
                <w:szCs w:val="21"/>
                <w:lang w:eastAsia="en-US"/>
              </w:rPr>
              <w:t>/</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351.04</w:t>
            </w:r>
          </w:p>
        </w:tc>
        <w:tc>
          <w:tcPr>
            <w:tcW w:w="1276"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17348.9</w:t>
            </w:r>
          </w:p>
        </w:tc>
        <w:tc>
          <w:tcPr>
            <w:tcW w:w="1275"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185.1</w:t>
            </w:r>
          </w:p>
        </w:tc>
        <w:tc>
          <w:tcPr>
            <w:tcW w:w="1247" w:type="dxa"/>
            <w:vAlign w:val="center"/>
          </w:tcPr>
          <w:p>
            <w:pPr>
              <w:autoSpaceDE w:val="0"/>
              <w:autoSpaceDN w:val="0"/>
              <w:ind w:left="196" w:right="19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9285.6</w:t>
            </w:r>
          </w:p>
        </w:tc>
      </w:tr>
    </w:tbl>
    <w:p>
      <w:pPr>
        <w:spacing w:line="360" w:lineRule="auto"/>
        <w:rPr>
          <w:rFonts w:ascii="Times New Roman" w:hAnsi="Times New Roman" w:eastAsia="宋体" w:cs="Times New Roman"/>
          <w:color w:val="000000"/>
        </w:rPr>
      </w:pPr>
      <w:r>
        <w:rPr>
          <w:rFonts w:ascii="Times New Roman" w:hAnsi="Times New Roman" w:eastAsia="宋体" w:cs="Times New Roman"/>
          <w:color w:val="000000"/>
        </w:rPr>
        <w:br w:type="page"/>
      </w:r>
    </w:p>
    <w:p>
      <w:pPr>
        <w:spacing w:line="360" w:lineRule="auto"/>
        <w:jc w:val="center"/>
        <w:rPr>
          <w:rFonts w:ascii="Times New Roman" w:hAnsi="Times New Roman" w:eastAsia="宋体" w:cs="Times New Roman"/>
          <w:b/>
          <w:bCs/>
          <w:color w:val="000000"/>
        </w:rPr>
      </w:pPr>
      <w:r>
        <w:rPr>
          <w:rFonts w:ascii="Times New Roman" w:hAnsi="Times New Roman" w:eastAsia="宋体" w:cs="Times New Roman"/>
          <w:color w:val="000000"/>
        </w:rPr>
        <w:drawing>
          <wp:anchor distT="0" distB="0" distL="114300" distR="114300" simplePos="0" relativeHeight="251659264" behindDoc="0" locked="0" layoutInCell="1" allowOverlap="1">
            <wp:simplePos x="0" y="0"/>
            <wp:positionH relativeFrom="column">
              <wp:posOffset>-3175</wp:posOffset>
            </wp:positionH>
            <wp:positionV relativeFrom="paragraph">
              <wp:posOffset>31115</wp:posOffset>
            </wp:positionV>
            <wp:extent cx="4921885" cy="2446655"/>
            <wp:effectExtent l="0" t="0" r="0" b="0"/>
            <wp:wrapTopAndBottom/>
            <wp:docPr id="459444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4133" name="图片 4"/>
                    <pic:cNvPicPr>
                      <a:picLocks noChangeAspect="1" noChangeArrowheads="1"/>
                    </pic:cNvPicPr>
                  </pic:nvPicPr>
                  <pic:blipFill>
                    <a:blip r:embed="rId11">
                      <a:extLst>
                        <a:ext uri="{28A0092B-C50C-407E-A947-70E740481C1C}">
                          <a14:useLocalDpi xmlns:a14="http://schemas.microsoft.com/office/drawing/2010/main" val="0"/>
                        </a:ext>
                      </a:extLst>
                    </a:blip>
                    <a:srcRect t="11749" r="6705"/>
                    <a:stretch>
                      <a:fillRect/>
                    </a:stretch>
                  </pic:blipFill>
                  <pic:spPr>
                    <a:xfrm>
                      <a:off x="0" y="0"/>
                      <a:ext cx="4921885" cy="2446655"/>
                    </a:xfrm>
                    <a:prstGeom prst="rect">
                      <a:avLst/>
                    </a:prstGeom>
                    <a:noFill/>
                    <a:ln>
                      <a:noFill/>
                    </a:ln>
                  </pic:spPr>
                </pic:pic>
              </a:graphicData>
            </a:graphic>
          </wp:anchor>
        </w:drawing>
      </w:r>
      <w:r>
        <w:rPr>
          <w:rFonts w:ascii="Times New Roman" w:hAnsi="Times New Roman" w:eastAsia="宋体" w:cs="Times New Roman"/>
          <w:b/>
          <w:bCs/>
          <w:color w:val="000000"/>
        </w:rPr>
        <w:t xml:space="preserve">图3.4-1   </w:t>
      </w:r>
      <w:r>
        <w:rPr>
          <w:rFonts w:hint="eastAsia" w:ascii="Times New Roman" w:hAnsi="Times New Roman" w:eastAsia="宋体" w:cs="Times New Roman"/>
          <w:b/>
          <w:bCs/>
          <w:color w:val="000000"/>
        </w:rPr>
        <w:t>验收项目</w:t>
      </w:r>
      <w:r>
        <w:rPr>
          <w:rFonts w:ascii="Times New Roman" w:hAnsi="Times New Roman" w:eastAsia="宋体" w:cs="Times New Roman"/>
          <w:b/>
          <w:bCs/>
          <w:color w:val="000000"/>
        </w:rPr>
        <w:t>水平衡图（m</w:t>
      </w:r>
      <w:r>
        <w:rPr>
          <w:rFonts w:ascii="Times New Roman" w:hAnsi="Times New Roman" w:eastAsia="宋体" w:cs="Times New Roman"/>
          <w:b/>
          <w:bCs/>
          <w:color w:val="000000"/>
          <w:vertAlign w:val="superscript"/>
        </w:rPr>
        <w:t>3</w:t>
      </w:r>
      <w:r>
        <w:rPr>
          <w:rFonts w:ascii="Times New Roman" w:hAnsi="Times New Roman" w:eastAsia="宋体" w:cs="Times New Roman"/>
          <w:b/>
          <w:bCs/>
          <w:color w:val="000000"/>
        </w:rPr>
        <w:t>/d）</w:t>
      </w:r>
    </w:p>
    <w:p>
      <w:pPr>
        <w:pStyle w:val="3"/>
        <w:spacing w:before="200" w:after="200"/>
        <w:rPr>
          <w:rFonts w:cs="Times New Roman"/>
          <w:szCs w:val="32"/>
        </w:rPr>
      </w:pPr>
      <w:bookmarkStart w:id="73" w:name="_Toc102039294"/>
      <w:r>
        <w:rPr>
          <w:rFonts w:cs="Times New Roman"/>
          <w:szCs w:val="32"/>
        </w:rPr>
        <w:t>3.5生产工艺</w:t>
      </w:r>
      <w:bookmarkEnd w:id="70"/>
      <w:bookmarkEnd w:id="71"/>
      <w:bookmarkEnd w:id="73"/>
    </w:p>
    <w:p>
      <w:pPr>
        <w:widowControl/>
        <w:spacing w:line="440" w:lineRule="exact"/>
        <w:ind w:firstLine="480" w:firstLineChars="200"/>
        <w:jc w:val="left"/>
        <w:rPr>
          <w:rFonts w:ascii="Times New Roman" w:hAnsi="Times New Roman" w:eastAsia="宋体" w:cs="Times New Roman"/>
          <w:kern w:val="0"/>
        </w:rPr>
      </w:pPr>
      <w:r>
        <w:rPr>
          <w:rFonts w:ascii="Times New Roman" w:hAnsi="Times New Roman" w:eastAsia="宋体" w:cs="Times New Roman"/>
          <w:kern w:val="0"/>
        </w:rPr>
        <w:t>根据</w:t>
      </w:r>
      <w:r>
        <w:rPr>
          <w:rFonts w:hint="eastAsia" w:ascii="Times New Roman" w:hAnsi="Times New Roman" w:eastAsia="宋体" w:cs="Times New Roman"/>
          <w:kern w:val="0"/>
        </w:rPr>
        <w:t>现场踏勘及</w:t>
      </w:r>
      <w:r>
        <w:rPr>
          <w:rFonts w:ascii="Times New Roman" w:hAnsi="Times New Roman" w:eastAsia="宋体" w:cs="Times New Roman"/>
          <w:kern w:val="0"/>
        </w:rPr>
        <w:t>建设单位提供的资料，拟建项目投入营运后，分饲养、配种、妊娠、分娩和哺乳、保育5个阶段饲养，实行全进全出的生产工艺，生产的保育猪</w:t>
      </w:r>
      <w:r>
        <w:rPr>
          <w:rFonts w:hint="eastAsia" w:ascii="Times New Roman" w:hAnsi="Times New Roman" w:eastAsia="宋体" w:cs="Times New Roman"/>
          <w:kern w:val="0"/>
        </w:rPr>
        <w:t>30%</w:t>
      </w:r>
      <w:r>
        <w:rPr>
          <w:rFonts w:ascii="Times New Roman" w:hAnsi="Times New Roman" w:eastAsia="宋体" w:cs="Times New Roman"/>
          <w:kern w:val="0"/>
        </w:rPr>
        <w:t>出售，</w:t>
      </w:r>
      <w:r>
        <w:rPr>
          <w:rFonts w:hint="eastAsia" w:ascii="Times New Roman" w:hAnsi="Times New Roman" w:eastAsia="宋体" w:cs="Times New Roman"/>
          <w:kern w:val="0"/>
        </w:rPr>
        <w:t>70%</w:t>
      </w:r>
      <w:r>
        <w:rPr>
          <w:rFonts w:ascii="Times New Roman" w:hAnsi="Times New Roman" w:eastAsia="宋体" w:cs="Times New Roman"/>
          <w:kern w:val="0"/>
        </w:rPr>
        <w:t>进行育肥</w:t>
      </w:r>
      <w:r>
        <w:rPr>
          <w:rFonts w:hint="eastAsia" w:ascii="Times New Roman" w:hAnsi="Times New Roman" w:eastAsia="宋体" w:cs="Times New Roman"/>
          <w:kern w:val="0"/>
        </w:rPr>
        <w:t>，年出栏量1.2万头商品猪，出栏保育仔猪5124头。</w:t>
      </w:r>
    </w:p>
    <w:p>
      <w:pPr>
        <w:widowControl/>
        <w:spacing w:line="440" w:lineRule="exact"/>
        <w:ind w:firstLine="480" w:firstLineChars="200"/>
        <w:jc w:val="left"/>
        <w:rPr>
          <w:rFonts w:ascii="Times New Roman" w:hAnsi="Times New Roman" w:eastAsia="宋体" w:cs="Times New Roman"/>
          <w:kern w:val="0"/>
        </w:rPr>
      </w:pPr>
      <w:r>
        <w:rPr>
          <w:rFonts w:ascii="Times New Roman" w:hAnsi="Times New Roman" w:eastAsia="宋体" w:cs="Times New Roman"/>
          <w:kern w:val="0"/>
        </w:rPr>
        <w:t>养殖工艺流程如图3.5-1</w:t>
      </w:r>
      <w:r>
        <w:rPr>
          <w:rFonts w:hint="eastAsia" w:ascii="Times New Roman" w:hAnsi="Times New Roman" w:eastAsia="宋体" w:cs="Times New Roman"/>
          <w:kern w:val="0"/>
        </w:rPr>
        <w:t>~</w:t>
      </w:r>
      <w:r>
        <w:rPr>
          <w:rFonts w:ascii="Times New Roman" w:hAnsi="Times New Roman" w:eastAsia="宋体" w:cs="Times New Roman"/>
          <w:kern w:val="0"/>
        </w:rPr>
        <w:t>3.5-2所示。</w:t>
      </w:r>
    </w:p>
    <w:p>
      <w:pPr>
        <w:widowControl/>
        <w:spacing w:line="440" w:lineRule="exact"/>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r>
        <w:rPr>
          <w:rFonts w:ascii="Times New Roman" w:hAnsi="Times New Roman" w:eastAsia="宋体" w:cs="Times New Roman"/>
          <w:kern w:val="0"/>
          <w:szCs w:val="22"/>
        </w:rPr>
        <w:drawing>
          <wp:anchor distT="0" distB="0" distL="114300" distR="114300" simplePos="0" relativeHeight="251660288" behindDoc="0" locked="0" layoutInCell="1" allowOverlap="1">
            <wp:simplePos x="0" y="0"/>
            <wp:positionH relativeFrom="column">
              <wp:posOffset>-316865</wp:posOffset>
            </wp:positionH>
            <wp:positionV relativeFrom="paragraph">
              <wp:posOffset>113030</wp:posOffset>
            </wp:positionV>
            <wp:extent cx="5278120" cy="2712085"/>
            <wp:effectExtent l="0" t="0" r="0" b="0"/>
            <wp:wrapNone/>
            <wp:docPr id="9022219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1967"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l="5515" t="18839" r="9186" b="19196"/>
                    <a:stretch>
                      <a:fillRect/>
                    </a:stretch>
                  </pic:blipFill>
                  <pic:spPr>
                    <a:xfrm>
                      <a:off x="0" y="0"/>
                      <a:ext cx="5278120" cy="2712085"/>
                    </a:xfrm>
                    <a:prstGeom prst="rect">
                      <a:avLst/>
                    </a:prstGeom>
                    <a:noFill/>
                    <a:ln>
                      <a:noFill/>
                    </a:ln>
                  </pic:spPr>
                </pic:pic>
              </a:graphicData>
            </a:graphic>
          </wp:anchor>
        </w:drawing>
      </w: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r>
        <w:rPr>
          <w:rFonts w:hint="eastAsia" w:ascii="Times New Roman" w:hAnsi="Times New Roman" w:eastAsia="宋体" w:cs="Times New Roman"/>
          <w:kern w:val="0"/>
        </w:rPr>
        <w:t>25</w:t>
      </w: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2" w:firstLineChars="200"/>
        <w:jc w:val="center"/>
        <w:rPr>
          <w:rFonts w:ascii="Times New Roman" w:hAnsi="Times New Roman" w:eastAsia="宋体" w:cs="Times New Roman"/>
          <w:b/>
          <w:bCs/>
          <w:kern w:val="0"/>
        </w:rPr>
      </w:pPr>
      <w:r>
        <w:rPr>
          <w:rFonts w:hint="eastAsia" w:ascii="Times New Roman" w:hAnsi="Times New Roman" w:eastAsia="宋体" w:cs="Times New Roman"/>
          <w:b/>
          <w:bCs/>
          <w:kern w:val="0"/>
        </w:rPr>
        <w:t>图</w:t>
      </w:r>
      <w:r>
        <w:rPr>
          <w:rFonts w:ascii="Times New Roman" w:hAnsi="Times New Roman" w:eastAsia="宋体" w:cs="Times New Roman"/>
          <w:b/>
          <w:bCs/>
          <w:kern w:val="0"/>
        </w:rPr>
        <w:t>3.5</w:t>
      </w:r>
      <w:r>
        <w:rPr>
          <w:rFonts w:hint="eastAsia" w:ascii="Times New Roman" w:hAnsi="Times New Roman" w:eastAsia="宋体" w:cs="Times New Roman"/>
          <w:b/>
          <w:bCs/>
          <w:kern w:val="0"/>
        </w:rPr>
        <w:t xml:space="preserve">-1 </w:t>
      </w:r>
      <w:r>
        <w:rPr>
          <w:rFonts w:ascii="Times New Roman" w:hAnsi="Times New Roman" w:eastAsia="宋体" w:cs="Times New Roman"/>
          <w:b/>
          <w:bCs/>
          <w:kern w:val="0"/>
        </w:rPr>
        <w:t xml:space="preserve"> </w:t>
      </w:r>
      <w:r>
        <w:rPr>
          <w:rFonts w:hint="eastAsia" w:ascii="Times New Roman" w:hAnsi="Times New Roman" w:eastAsia="宋体" w:cs="Times New Roman"/>
          <w:b/>
          <w:bCs/>
          <w:kern w:val="0"/>
        </w:rPr>
        <w:t>项目养殖工艺流程图</w:t>
      </w: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r>
        <w:rPr>
          <w:rFonts w:ascii="Times New Roman" w:hAnsi="Times New Roman" w:eastAsia="宋体" w:cs="Times New Roman"/>
          <w:kern w:val="0"/>
        </w:rPr>
        <w:pict>
          <v:group id="组合 51" o:spid="_x0000_s2056" o:spt="203" style="position:absolute;left:0pt;margin-left:-45.5pt;margin-top:-4.75pt;height:319.4pt;width:435.95pt;z-index:251661312;mso-width-relative:page;mso-height-relative:page;" coordorigin="612,1532" coordsize="9549,6838">
            <o:lock v:ext="edit"/>
            <v:shape id="对象 40" o:spid="_x0000_s2057" o:spt="75" type="#_x0000_t75" style="position:absolute;left:772;top:1532;height:6838;width:9389;" o:ole="t" filled="f" o:preferrelative="t" stroked="f" coordsize="21600,21600">
              <v:path/>
              <v:fill on="f" focussize="0,0"/>
              <v:stroke on="f" joinstyle="miter"/>
              <v:imagedata r:id="rId14" o:title=""/>
              <o:lock v:ext="edit" aspectratio="t"/>
            </v:shape>
            <v:rect id="矩形 42" o:spid="_x0000_s2058" o:spt="1" style="position:absolute;left:612;top:4424;height:1279;width:2476;" stroked="f" coordsize="21600,21600">
              <v:path/>
              <v:fill focussize="0,0"/>
              <v:stroke on="f"/>
              <v:imagedata o:title=""/>
              <o:lock v:ext="edit"/>
            </v:rect>
            <v:shape id="文本框 43" o:spid="_x0000_s2059" o:spt="202" type="#_x0000_t202" style="position:absolute;left:8088;top:5103;height:519;width:1451;" stroked="f" coordsize="21600,21600">
              <v:path/>
              <v:fill focussize="0,0"/>
              <v:stroke on="f" joinstyle="miter"/>
              <v:imagedata o:title=""/>
              <o:lock v:ext="edit"/>
              <v:textbox>
                <w:txbxContent>
                  <w:p>
                    <w:pPr>
                      <w:ind w:firstLine="240" w:firstLineChars="100"/>
                    </w:pPr>
                    <w:r>
                      <w:rPr>
                        <w:rFonts w:hint="eastAsia"/>
                      </w:rPr>
                      <w:t>堆粪池</w:t>
                    </w:r>
                  </w:p>
                </w:txbxContent>
              </v:textbox>
            </v:shape>
            <v:shape id="文本框 44" o:spid="_x0000_s2060" o:spt="202" type="#_x0000_t202" style="position:absolute;left:3374;top:2580;height:519;width:1188;" stroked="f" coordsize="21600,21600">
              <v:path/>
              <v:fill focussize="0,0"/>
              <v:stroke on="f" joinstyle="miter"/>
              <v:imagedata o:title=""/>
              <o:lock v:ext="edit"/>
              <v:textbox>
                <w:txbxContent>
                  <w:p>
                    <w:r>
                      <w:rPr>
                        <w:rFonts w:hint="eastAsia"/>
                      </w:rPr>
                      <w:t>母猪舍池</w:t>
                    </w:r>
                  </w:p>
                </w:txbxContent>
              </v:textbox>
            </v:shape>
            <v:shape id="文本框 45" o:spid="_x0000_s2061" o:spt="202" type="#_x0000_t202" style="position:absolute;left:8236;top:6302;height:519;width:1451;" stroked="f" coordsize="21600,21600">
              <v:path/>
              <v:fill focussize="0,0"/>
              <v:stroke on="f" joinstyle="miter"/>
              <v:imagedata o:title=""/>
              <o:lock v:ext="edit"/>
              <v:textbox>
                <w:txbxContent>
                  <w:p>
                    <w:pPr>
                      <w:ind w:firstLine="240" w:firstLineChars="100"/>
                    </w:pPr>
                    <w:r>
                      <w:rPr>
                        <w:rFonts w:hint="eastAsia"/>
                      </w:rPr>
                      <w:t>外售</w:t>
                    </w:r>
                  </w:p>
                </w:txbxContent>
              </v:textbox>
            </v:shape>
            <v:shape id="文本框 48" o:spid="_x0000_s2062" o:spt="202" type="#_x0000_t202" style="position:absolute;left:2143;top:6302;height:598;width:1519;" stroked="f" coordsize="21600,21600">
              <v:path/>
              <v:fill focussize="0,0"/>
              <v:stroke on="f" joinstyle="miter"/>
              <v:imagedata o:title=""/>
              <o:lock v:ext="edit"/>
              <v:textbox>
                <w:txbxContent>
                  <w:p>
                    <w:r>
                      <w:rPr>
                        <w:rFonts w:hint="eastAsia"/>
                      </w:rPr>
                      <w:t>食堂、农户</w:t>
                    </w:r>
                  </w:p>
                </w:txbxContent>
              </v:textbox>
            </v:shape>
            <v:shape id="文本框 49" o:spid="_x0000_s2063" o:spt="202" type="#_x0000_t202" style="position:absolute;left:3902;top:7580;height:703;width:2065;" stroked="f" coordsize="21600,21600">
              <v:path/>
              <v:fill focussize="0,0"/>
              <v:stroke on="f" joinstyle="miter"/>
              <v:imagedata o:title=""/>
              <o:lock v:ext="edit"/>
              <v:textbox>
                <w:txbxContent>
                  <w:p>
                    <w:pPr>
                      <w:ind w:firstLine="240" w:firstLineChars="100"/>
                    </w:pPr>
                    <w:r>
                      <w:rPr>
                        <w:rFonts w:hint="eastAsia"/>
                      </w:rPr>
                      <w:t>农田肥料</w:t>
                    </w:r>
                  </w:p>
                </w:txbxContent>
              </v:textbox>
            </v:shape>
            <v:shape id="文本框 50" o:spid="_x0000_s2064" o:spt="202" type="#_x0000_t202" style="position:absolute;left:1734;top:6958;height:991;width:2065;" stroked="f" coordsize="21600,21600">
              <v:path/>
              <v:fill focussize="0,0"/>
              <v:stroke on="f" joinstyle="miter"/>
              <v:imagedata o:title=""/>
              <o:lock v:ext="edit"/>
              <v:textbox>
                <w:txbxContent>
                  <w:p>
                    <w:pPr>
                      <w:ind w:firstLine="240" w:firstLineChars="100"/>
                    </w:pPr>
                  </w:p>
                </w:txbxContent>
              </v:textbox>
            </v:shape>
          </v:group>
          <o:OLEObject Type="Embed" ProgID="Visio.Drawing.11" ShapeID="对象 40" DrawAspect="Content" ObjectID="_1468075725" r:id="rId13">
            <o:LockedField>false</o:LockedField>
          </o:OLEObject>
        </w:pict>
      </w: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0" w:firstLineChars="200"/>
        <w:rPr>
          <w:rFonts w:ascii="Times New Roman" w:hAnsi="Times New Roman" w:eastAsia="宋体" w:cs="Times New Roman"/>
          <w:kern w:val="0"/>
        </w:rPr>
      </w:pPr>
    </w:p>
    <w:p>
      <w:pPr>
        <w:widowControl/>
        <w:ind w:firstLine="482" w:firstLineChars="200"/>
        <w:jc w:val="center"/>
        <w:rPr>
          <w:rFonts w:ascii="Times New Roman" w:hAnsi="Times New Roman" w:eastAsia="宋体" w:cs="Times New Roman"/>
          <w:b/>
          <w:bCs/>
          <w:kern w:val="0"/>
        </w:rPr>
      </w:pPr>
      <w:r>
        <w:rPr>
          <w:rFonts w:hint="eastAsia" w:ascii="Times New Roman" w:hAnsi="Times New Roman" w:eastAsia="宋体" w:cs="Times New Roman"/>
          <w:b/>
          <w:bCs/>
          <w:kern w:val="0"/>
        </w:rPr>
        <w:t>图3.</w:t>
      </w:r>
      <w:r>
        <w:rPr>
          <w:rFonts w:ascii="Times New Roman" w:hAnsi="Times New Roman" w:eastAsia="宋体" w:cs="Times New Roman"/>
          <w:b/>
          <w:bCs/>
          <w:kern w:val="0"/>
        </w:rPr>
        <w:t>5</w:t>
      </w:r>
      <w:r>
        <w:rPr>
          <w:rFonts w:hint="eastAsia" w:ascii="Times New Roman" w:hAnsi="Times New Roman" w:eastAsia="宋体" w:cs="Times New Roman"/>
          <w:b/>
          <w:bCs/>
          <w:kern w:val="0"/>
        </w:rPr>
        <w:t xml:space="preserve">-2 </w:t>
      </w:r>
      <w:r>
        <w:rPr>
          <w:rFonts w:ascii="Times New Roman" w:hAnsi="Times New Roman" w:eastAsia="宋体" w:cs="Times New Roman"/>
          <w:b/>
          <w:bCs/>
          <w:kern w:val="0"/>
        </w:rPr>
        <w:t xml:space="preserve"> </w:t>
      </w:r>
      <w:r>
        <w:rPr>
          <w:rFonts w:hint="eastAsia" w:ascii="Times New Roman" w:hAnsi="Times New Roman" w:eastAsia="宋体" w:cs="Times New Roman"/>
          <w:b/>
          <w:bCs/>
          <w:kern w:val="0"/>
        </w:rPr>
        <w:t>项目养殖工艺产污环节图</w:t>
      </w:r>
    </w:p>
    <w:p>
      <w:pPr>
        <w:widowControl/>
        <w:ind w:firstLine="480" w:firstLineChars="200"/>
        <w:rPr>
          <w:rFonts w:ascii="Times New Roman" w:hAnsi="Times New Roman" w:eastAsia="宋体" w:cs="Times New Roman"/>
          <w:kern w:val="0"/>
        </w:rPr>
      </w:pPr>
    </w:p>
    <w:p>
      <w:pPr>
        <w:keepNext/>
        <w:keepLines/>
        <w:widowControl/>
        <w:spacing w:line="440" w:lineRule="exact"/>
        <w:ind w:firstLine="482" w:firstLineChars="200"/>
        <w:jc w:val="left"/>
        <w:outlineLvl w:val="3"/>
        <w:rPr>
          <w:rFonts w:ascii="Times New Roman" w:hAnsi="Times New Roman" w:eastAsia="宋体" w:cs="Times New Roman"/>
          <w:b/>
          <w:bCs/>
          <w:kern w:val="0"/>
        </w:rPr>
      </w:pPr>
      <w:r>
        <w:rPr>
          <w:rFonts w:ascii="Times New Roman" w:hAnsi="Times New Roman" w:eastAsia="宋体" w:cs="Times New Roman"/>
          <w:b/>
          <w:bCs/>
          <w:kern w:val="0"/>
        </w:rPr>
        <w:t>3.5.1养猪工艺流程简介</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本项目存栏种母猪8</w:t>
      </w:r>
      <w:r>
        <w:rPr>
          <w:rFonts w:hint="eastAsia" w:ascii="Times New Roman" w:hAnsi="Times New Roman" w:eastAsia="宋体" w:cs="Times New Roman"/>
          <w:kern w:val="0"/>
        </w:rPr>
        <w:t>6</w:t>
      </w:r>
      <w:r>
        <w:rPr>
          <w:rFonts w:ascii="Times New Roman" w:hAnsi="Times New Roman" w:eastAsia="宋体" w:cs="Times New Roman"/>
          <w:kern w:val="0"/>
        </w:rPr>
        <w:t>0头，</w:t>
      </w:r>
      <w:r>
        <w:rPr>
          <w:rFonts w:hint="eastAsia" w:ascii="Times New Roman" w:hAnsi="Times New Roman" w:eastAsia="宋体" w:cs="Times New Roman"/>
          <w:kern w:val="0"/>
        </w:rPr>
        <w:t>达产年繁育仔猪</w:t>
      </w:r>
      <w:r>
        <w:rPr>
          <w:rFonts w:ascii="Times New Roman" w:hAnsi="Times New Roman" w:eastAsia="宋体" w:cs="Times New Roman"/>
          <w:kern w:val="0"/>
        </w:rPr>
        <w:t>17079</w:t>
      </w:r>
      <w:r>
        <w:rPr>
          <w:rFonts w:hint="eastAsia" w:ascii="Times New Roman" w:hAnsi="Times New Roman" w:eastAsia="宋体" w:cs="Times New Roman"/>
          <w:kern w:val="0"/>
        </w:rPr>
        <w:t>头/年，</w:t>
      </w:r>
      <w:r>
        <w:rPr>
          <w:rFonts w:ascii="Times New Roman" w:hAnsi="Times New Roman" w:eastAsia="宋体" w:cs="Times New Roman"/>
          <w:kern w:val="0"/>
        </w:rPr>
        <w:t>其中</w:t>
      </w:r>
      <w:r>
        <w:rPr>
          <w:rFonts w:hint="eastAsia" w:ascii="Times New Roman" w:hAnsi="Times New Roman" w:eastAsia="宋体" w:cs="Times New Roman"/>
          <w:kern w:val="0"/>
        </w:rPr>
        <w:t>3</w:t>
      </w:r>
      <w:r>
        <w:rPr>
          <w:rFonts w:ascii="Times New Roman" w:hAnsi="Times New Roman" w:eastAsia="宋体" w:cs="Times New Roman"/>
          <w:kern w:val="0"/>
        </w:rPr>
        <w:t>0%仔猪外售，</w:t>
      </w:r>
      <w:r>
        <w:rPr>
          <w:rFonts w:hint="eastAsia" w:ascii="Times New Roman" w:hAnsi="Times New Roman" w:eastAsia="宋体" w:cs="Times New Roman"/>
          <w:kern w:val="0"/>
        </w:rPr>
        <w:t>7</w:t>
      </w:r>
      <w:r>
        <w:rPr>
          <w:rFonts w:ascii="Times New Roman" w:hAnsi="Times New Roman" w:eastAsia="宋体" w:cs="Times New Roman"/>
          <w:kern w:val="0"/>
        </w:rPr>
        <w:t>0%仔猪采取自繁自养模式，</w:t>
      </w:r>
      <w:r>
        <w:rPr>
          <w:rFonts w:hint="eastAsia" w:ascii="Times New Roman" w:hAnsi="Times New Roman" w:eastAsia="宋体" w:cs="Times New Roman"/>
          <w:kern w:val="0"/>
        </w:rPr>
        <w:t>年出栏商品猪12000头，</w:t>
      </w:r>
      <w:r>
        <w:rPr>
          <w:rFonts w:ascii="Times New Roman" w:hAnsi="Times New Roman" w:eastAsia="宋体" w:cs="Times New Roman"/>
          <w:kern w:val="0"/>
        </w:rPr>
        <w:t>采用人工授精技术，通过现代先进技术选育出商品肉猪。其生产采用工厂化的饲养方式，以养殖日龄为基础，实现按计划均衡生产。</w:t>
      </w:r>
      <w:r>
        <w:rPr>
          <w:rFonts w:hint="eastAsia" w:ascii="Times New Roman" w:hAnsi="Times New Roman" w:eastAsia="宋体" w:cs="Times New Roman"/>
          <w:kern w:val="0"/>
        </w:rPr>
        <w:t>种母猪年淘汰率按25%计算，由场内闭群选育提供。淘汰的母猪外售。</w:t>
      </w:r>
    </w:p>
    <w:p>
      <w:pPr>
        <w:widowControl/>
        <w:spacing w:line="440" w:lineRule="exact"/>
        <w:ind w:firstLine="480" w:firstLineChars="200"/>
        <w:rPr>
          <w:rFonts w:ascii="Times New Roman" w:hAnsi="Times New Roman" w:eastAsia="宋体" w:cs="Times New Roman"/>
          <w:color w:val="FF0000"/>
          <w:kern w:val="0"/>
        </w:rPr>
      </w:pPr>
      <w:r>
        <w:rPr>
          <w:rFonts w:ascii="Times New Roman" w:hAnsi="Times New Roman" w:eastAsia="宋体" w:cs="Times New Roman"/>
          <w:color w:val="FF0000"/>
          <w:kern w:val="0"/>
        </w:rPr>
        <w:t>种公猪：公猪单栏饲养，每栏一头，项目饲养2</w:t>
      </w:r>
      <w:r>
        <w:rPr>
          <w:rFonts w:hint="eastAsia" w:ascii="Times New Roman" w:hAnsi="Times New Roman" w:eastAsia="宋体" w:cs="Times New Roman"/>
          <w:color w:val="FF0000"/>
          <w:kern w:val="0"/>
        </w:rPr>
        <w:t>0</w:t>
      </w:r>
      <w:r>
        <w:rPr>
          <w:rFonts w:ascii="Times New Roman" w:hAnsi="Times New Roman" w:eastAsia="宋体" w:cs="Times New Roman"/>
          <w:color w:val="FF0000"/>
          <w:kern w:val="0"/>
        </w:rPr>
        <w:t>头种公猪用于诱情，</w:t>
      </w:r>
      <w:r>
        <w:rPr>
          <w:rFonts w:hint="eastAsia" w:ascii="Times New Roman" w:hAnsi="Times New Roman" w:eastAsia="宋体" w:cs="Times New Roman"/>
          <w:color w:val="FF0000"/>
          <w:kern w:val="0"/>
        </w:rPr>
        <w:t>外购</w:t>
      </w:r>
      <w:r>
        <w:rPr>
          <w:rFonts w:ascii="Times New Roman" w:hAnsi="Times New Roman" w:eastAsia="宋体" w:cs="Times New Roman"/>
          <w:color w:val="FF0000"/>
          <w:kern w:val="0"/>
        </w:rPr>
        <w:t>精液进行人工授精。</w:t>
      </w:r>
    </w:p>
    <w:p>
      <w:pPr>
        <w:widowControl/>
        <w:spacing w:line="440" w:lineRule="exact"/>
        <w:ind w:firstLine="480" w:firstLineChars="200"/>
        <w:rPr>
          <w:rFonts w:ascii="Times New Roman" w:hAnsi="Times New Roman" w:eastAsia="宋体" w:cs="Times New Roman"/>
          <w:color w:val="FF0000"/>
          <w:kern w:val="0"/>
        </w:rPr>
      </w:pPr>
      <w:r>
        <w:rPr>
          <w:rFonts w:ascii="Times New Roman" w:hAnsi="Times New Roman" w:eastAsia="宋体" w:cs="Times New Roman"/>
          <w:color w:val="FF0000"/>
          <w:kern w:val="0"/>
        </w:rPr>
        <w:t>妊娠母猪：采用限位栏饲养，采用全漏缝猪舍，下设清粪槽，机械清粪，母猪妊娠约</w:t>
      </w:r>
      <w:r>
        <w:rPr>
          <w:rFonts w:hint="eastAsia" w:ascii="Times New Roman" w:hAnsi="Times New Roman" w:eastAsia="宋体" w:cs="Times New Roman"/>
          <w:color w:val="FF0000"/>
          <w:kern w:val="0"/>
        </w:rPr>
        <w:t>114d</w:t>
      </w:r>
      <w:r>
        <w:rPr>
          <w:rFonts w:ascii="Times New Roman" w:hAnsi="Times New Roman" w:eastAsia="宋体" w:cs="Times New Roman"/>
          <w:color w:val="FF0000"/>
          <w:kern w:val="0"/>
        </w:rPr>
        <w:t>至预产期前一周转入分娩舍待产；</w:t>
      </w:r>
    </w:p>
    <w:p>
      <w:pPr>
        <w:widowControl/>
        <w:spacing w:line="440" w:lineRule="exact"/>
        <w:ind w:firstLine="480" w:firstLineChars="200"/>
        <w:rPr>
          <w:rFonts w:ascii="Times New Roman" w:hAnsi="Times New Roman" w:eastAsia="宋体" w:cs="Times New Roman"/>
          <w:color w:val="FF0000"/>
          <w:kern w:val="0"/>
        </w:rPr>
      </w:pPr>
      <w:r>
        <w:rPr>
          <w:rFonts w:ascii="Times New Roman" w:hAnsi="Times New Roman" w:eastAsia="宋体" w:cs="Times New Roman"/>
          <w:color w:val="FF0000"/>
          <w:kern w:val="0"/>
        </w:rPr>
        <w:t>妊娠后期及哺乳期母猪：采用全漏缝高床分娩栏，仔猪哺乳期21d。断奶后母猪转入配种舍配种，断奶仔猪转入保育舍。</w:t>
      </w:r>
    </w:p>
    <w:p>
      <w:pPr>
        <w:widowControl/>
        <w:spacing w:line="440" w:lineRule="exact"/>
        <w:ind w:firstLine="480" w:firstLineChars="200"/>
        <w:rPr>
          <w:rFonts w:ascii="Times New Roman" w:hAnsi="Times New Roman" w:eastAsia="宋体" w:cs="Times New Roman"/>
          <w:color w:val="FF0000"/>
          <w:kern w:val="0"/>
        </w:rPr>
      </w:pPr>
      <w:r>
        <w:rPr>
          <w:rFonts w:ascii="Times New Roman" w:hAnsi="Times New Roman" w:eastAsia="宋体" w:cs="Times New Roman"/>
          <w:color w:val="FF0000"/>
          <w:kern w:val="0"/>
        </w:rPr>
        <w:t>保育猪：断奶仔猪入保育舍，培育</w:t>
      </w:r>
      <w:r>
        <w:rPr>
          <w:rFonts w:hint="eastAsia" w:ascii="Times New Roman" w:hAnsi="Times New Roman" w:eastAsia="宋体" w:cs="Times New Roman"/>
          <w:color w:val="FF0000"/>
          <w:kern w:val="0"/>
        </w:rPr>
        <w:t>35</w:t>
      </w:r>
      <w:r>
        <w:rPr>
          <w:rFonts w:ascii="Times New Roman" w:hAnsi="Times New Roman" w:eastAsia="宋体" w:cs="Times New Roman"/>
          <w:color w:val="FF0000"/>
          <w:kern w:val="0"/>
        </w:rPr>
        <w:t>d，送至育肥舍</w:t>
      </w:r>
      <w:r>
        <w:rPr>
          <w:rFonts w:hint="eastAsia" w:ascii="Times New Roman" w:hAnsi="Times New Roman" w:eastAsia="宋体" w:cs="Times New Roman"/>
          <w:color w:val="FF0000"/>
          <w:kern w:val="0"/>
        </w:rPr>
        <w:t>，体重15-20kg保育猪外售30%。</w:t>
      </w:r>
    </w:p>
    <w:p>
      <w:pPr>
        <w:widowControl/>
        <w:spacing w:line="440" w:lineRule="exact"/>
        <w:ind w:firstLine="480" w:firstLineChars="200"/>
        <w:rPr>
          <w:rFonts w:ascii="Times New Roman" w:hAnsi="Times New Roman" w:eastAsia="宋体" w:cs="Times New Roman"/>
          <w:color w:val="FF0000"/>
          <w:kern w:val="0"/>
        </w:rPr>
      </w:pPr>
      <w:r>
        <w:rPr>
          <w:rFonts w:ascii="Times New Roman" w:hAnsi="Times New Roman" w:eastAsia="宋体" w:cs="Times New Roman"/>
          <w:color w:val="FF0000"/>
          <w:kern w:val="0"/>
        </w:rPr>
        <w:t>育肥猪：育肥舍育肥</w:t>
      </w:r>
      <w:r>
        <w:rPr>
          <w:rFonts w:hint="eastAsia" w:ascii="Times New Roman" w:hAnsi="Times New Roman" w:eastAsia="宋体" w:cs="Times New Roman"/>
          <w:color w:val="FF0000"/>
          <w:kern w:val="0"/>
        </w:rPr>
        <w:t>120</w:t>
      </w:r>
      <w:r>
        <w:rPr>
          <w:rFonts w:ascii="Times New Roman" w:hAnsi="Times New Roman" w:eastAsia="宋体" w:cs="Times New Roman"/>
          <w:color w:val="FF0000"/>
          <w:kern w:val="0"/>
        </w:rPr>
        <w:t>d，体重达</w:t>
      </w:r>
      <w:r>
        <w:rPr>
          <w:rFonts w:hint="eastAsia" w:ascii="Times New Roman" w:hAnsi="Times New Roman" w:eastAsia="宋体" w:cs="Times New Roman"/>
          <w:color w:val="FF0000"/>
          <w:kern w:val="0"/>
        </w:rPr>
        <w:t>10</w:t>
      </w:r>
      <w:r>
        <w:rPr>
          <w:rFonts w:ascii="Times New Roman" w:hAnsi="Times New Roman" w:eastAsia="宋体" w:cs="Times New Roman"/>
          <w:color w:val="FF0000"/>
          <w:kern w:val="0"/>
        </w:rPr>
        <w:t>0kg以上作为商品猪外售。</w:t>
      </w:r>
    </w:p>
    <w:p>
      <w:pPr>
        <w:keepNext/>
        <w:keepLines/>
        <w:widowControl/>
        <w:spacing w:line="440" w:lineRule="exact"/>
        <w:ind w:firstLine="482" w:firstLineChars="200"/>
        <w:jc w:val="left"/>
        <w:outlineLvl w:val="3"/>
        <w:rPr>
          <w:rFonts w:ascii="Times New Roman" w:hAnsi="Times New Roman" w:eastAsia="宋体" w:cs="Times New Roman"/>
          <w:b/>
          <w:bCs/>
          <w:kern w:val="0"/>
        </w:rPr>
      </w:pPr>
      <w:r>
        <w:rPr>
          <w:rFonts w:ascii="Times New Roman" w:hAnsi="Times New Roman" w:eastAsia="宋体" w:cs="Times New Roman"/>
          <w:b/>
          <w:bCs/>
          <w:kern w:val="0"/>
        </w:rPr>
        <w:t>3.5.2饲养工艺</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（1）喂养方式</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购买成品饲料，采用全自动配送上料系统和限位猪槽，机械化操作，定时定量供应饲料，保证猪只饮食需求。</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（2）饮水方式</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采用先进的限位饮水器，限位饮水器底部槽体液面始终维持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（3）清粪方式</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猪粪日产日清，猪舍选择机械刮板干清粪工艺，清出的粪便、尿液及舍内冲洗废水进入污水处理站，处理后</w:t>
      </w:r>
      <w:r>
        <w:rPr>
          <w:rFonts w:hint="eastAsia" w:ascii="Times New Roman" w:hAnsi="Times New Roman" w:eastAsia="宋体" w:cs="Times New Roman"/>
          <w:kern w:val="0"/>
        </w:rPr>
        <w:t>沼液</w:t>
      </w:r>
      <w:r>
        <w:rPr>
          <w:rFonts w:ascii="Times New Roman" w:hAnsi="Times New Roman" w:eastAsia="宋体" w:cs="Times New Roman"/>
          <w:kern w:val="0"/>
        </w:rPr>
        <w:t>还田。</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采用“漏缝板+机械刮板”干清粪模式，以减少末端污水处理量和污水中各污染因子的浓度。猪生活在漏缝板上，饲养员行走及饲养工作在过道上。猪排泄的粪尿落入漏缝板地板下部，漏缝板下部区域设置为两侧向中间倾斜的斜坡状粪沟，粪沟和尿道整体设计成一端高一端低，粪尿落在粪沟，漏缝地板下设机械刮板机，</w:t>
      </w:r>
      <w:r>
        <w:rPr>
          <w:rFonts w:hint="eastAsia" w:ascii="Times New Roman" w:hAnsi="Times New Roman" w:eastAsia="宋体" w:cs="Times New Roman"/>
          <w:kern w:val="0"/>
        </w:rPr>
        <w:t>将粪尿刮至最低端集粪区，另外在每层楼集粪区处设置二次刮</w:t>
      </w:r>
      <w:r>
        <w:rPr>
          <w:rFonts w:ascii="Times New Roman" w:hAnsi="Times New Roman" w:eastAsia="宋体" w:cs="Times New Roman"/>
          <w:kern w:val="0"/>
        </w:rPr>
        <w:t>粪</w:t>
      </w:r>
      <w:r>
        <w:rPr>
          <w:rFonts w:hint="eastAsia" w:ascii="Times New Roman" w:hAnsi="Times New Roman" w:eastAsia="宋体" w:cs="Times New Roman"/>
          <w:kern w:val="0"/>
        </w:rPr>
        <w:t>机(垂直于一次刮粪机)，将</w:t>
      </w:r>
      <w:r>
        <w:rPr>
          <w:rFonts w:ascii="Times New Roman" w:hAnsi="Times New Roman" w:eastAsia="宋体" w:cs="Times New Roman"/>
          <w:kern w:val="0"/>
        </w:rPr>
        <w:t>粪污</w:t>
      </w:r>
      <w:r>
        <w:rPr>
          <w:rFonts w:hint="eastAsia" w:ascii="Times New Roman" w:hAnsi="Times New Roman" w:eastAsia="宋体" w:cs="Times New Roman"/>
          <w:kern w:val="0"/>
        </w:rPr>
        <w:t>刮至密闭粪污收集管网内，粪尿一并进入集污池</w:t>
      </w:r>
      <w:r>
        <w:rPr>
          <w:rFonts w:ascii="Times New Roman" w:hAnsi="Times New Roman" w:eastAsia="宋体" w:cs="Times New Roman"/>
          <w:kern w:val="0"/>
        </w:rPr>
        <w:t>，</w:t>
      </w:r>
      <w:r>
        <w:rPr>
          <w:rFonts w:hint="eastAsia" w:ascii="Times New Roman" w:hAnsi="Times New Roman" w:eastAsia="宋体" w:cs="Times New Roman"/>
          <w:kern w:val="0"/>
        </w:rPr>
        <w:t>通过固液分离机将猪粪分离出来，</w:t>
      </w:r>
      <w:r>
        <w:rPr>
          <w:rFonts w:ascii="Times New Roman" w:hAnsi="Times New Roman" w:eastAsia="宋体" w:cs="Times New Roman"/>
          <w:kern w:val="0"/>
        </w:rPr>
        <w:t>废水</w:t>
      </w:r>
      <w:r>
        <w:rPr>
          <w:rFonts w:hint="eastAsia" w:ascii="Times New Roman" w:hAnsi="Times New Roman" w:eastAsia="宋体" w:cs="Times New Roman"/>
          <w:kern w:val="0"/>
        </w:rPr>
        <w:t>进入污水处理站进行进一步处理，</w:t>
      </w:r>
      <w:r>
        <w:rPr>
          <w:rFonts w:ascii="Times New Roman" w:hAnsi="Times New Roman" w:eastAsia="宋体" w:cs="Times New Roman"/>
          <w:kern w:val="0"/>
        </w:rPr>
        <w:t>刮粪板一天刮两次。</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（4）日照</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自然光照与人工光照相结合，以自然光照为主。</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（5）采暖与通风</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采用自然通风和机械通风相结合的方式通风，冬季分娩舍用</w:t>
      </w:r>
      <w:r>
        <w:rPr>
          <w:rFonts w:hint="eastAsia" w:ascii="Times New Roman" w:hAnsi="Times New Roman" w:eastAsia="宋体" w:cs="Times New Roman"/>
          <w:kern w:val="0"/>
        </w:rPr>
        <w:t>地暖</w:t>
      </w:r>
      <w:r>
        <w:rPr>
          <w:rFonts w:ascii="Times New Roman" w:hAnsi="Times New Roman" w:eastAsia="宋体" w:cs="Times New Roman"/>
          <w:kern w:val="0"/>
        </w:rPr>
        <w:t>取暖、夏季采用水帘降温。</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w:t>
      </w:r>
      <w:r>
        <w:rPr>
          <w:rFonts w:hint="eastAsia" w:ascii="Times New Roman" w:hAnsi="Times New Roman" w:eastAsia="宋体" w:cs="Times New Roman"/>
          <w:kern w:val="0"/>
        </w:rPr>
        <w:t>6</w:t>
      </w:r>
      <w:r>
        <w:rPr>
          <w:rFonts w:ascii="Times New Roman" w:hAnsi="Times New Roman" w:eastAsia="宋体" w:cs="Times New Roman"/>
          <w:kern w:val="0"/>
        </w:rPr>
        <w:t>）断尾、断牙</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在小猪产后第25小时，是最佳的断尾、断牙时间，断尾去三分之二，留三分之一。</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w:t>
      </w:r>
      <w:r>
        <w:rPr>
          <w:rFonts w:hint="eastAsia" w:ascii="Times New Roman" w:hAnsi="Times New Roman" w:eastAsia="宋体" w:cs="Times New Roman"/>
          <w:kern w:val="0"/>
        </w:rPr>
        <w:t>7</w:t>
      </w:r>
      <w:r>
        <w:rPr>
          <w:rFonts w:ascii="Times New Roman" w:hAnsi="Times New Roman" w:eastAsia="宋体" w:cs="Times New Roman"/>
          <w:kern w:val="0"/>
        </w:rPr>
        <w:t>）开食</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采用主动开食措施，仔猪5天龄时，将教槽料调成糊状，每天抹一些到小猪口里，直到9天龄，在7天龄后可逐步投喂教槽料。</w:t>
      </w:r>
    </w:p>
    <w:p>
      <w:pPr>
        <w:keepNext/>
        <w:keepLines/>
        <w:widowControl/>
        <w:spacing w:line="440" w:lineRule="exact"/>
        <w:ind w:firstLine="482" w:firstLineChars="200"/>
        <w:jc w:val="left"/>
        <w:outlineLvl w:val="3"/>
        <w:rPr>
          <w:rFonts w:ascii="Times New Roman" w:hAnsi="Times New Roman" w:eastAsia="宋体" w:cs="Times New Roman"/>
          <w:b/>
          <w:bCs/>
          <w:kern w:val="0"/>
        </w:rPr>
      </w:pPr>
      <w:r>
        <w:rPr>
          <w:rFonts w:ascii="Times New Roman" w:hAnsi="Times New Roman" w:eastAsia="宋体" w:cs="Times New Roman"/>
          <w:b/>
          <w:bCs/>
          <w:kern w:val="0"/>
        </w:rPr>
        <w:t>3.5.3养殖场内防疫</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防疫主要采取注射疫苗的方式，常用疫苗包括猪瘟疫苗、猪口蹄疫疫苗、猪高致病性蓝耳病疫苗、猪细小病毒疫苗等。小猪在断奶后一周进行免疫注射；成年猪每年春秋两季各接种一次；同时常备兽药主要为吉霉素、链霉素等抗生素类药品，要求使用高效、低毒、无公害、无残留，经职能部门认证的兽药。</w:t>
      </w:r>
    </w:p>
    <w:p>
      <w:pPr>
        <w:keepNext/>
        <w:keepLines/>
        <w:widowControl/>
        <w:spacing w:line="440" w:lineRule="exact"/>
        <w:ind w:firstLine="482" w:firstLineChars="200"/>
        <w:jc w:val="left"/>
        <w:outlineLvl w:val="3"/>
        <w:rPr>
          <w:rFonts w:ascii="Times New Roman" w:hAnsi="Times New Roman" w:eastAsia="宋体" w:cs="Times New Roman"/>
          <w:b/>
          <w:bCs/>
          <w:kern w:val="0"/>
        </w:rPr>
      </w:pPr>
      <w:r>
        <w:rPr>
          <w:rFonts w:ascii="Times New Roman" w:hAnsi="Times New Roman" w:eastAsia="宋体" w:cs="Times New Roman"/>
          <w:b/>
          <w:bCs/>
          <w:kern w:val="0"/>
        </w:rPr>
        <w:t>3.5.4消毒及驱蝇灭蚊</w:t>
      </w:r>
    </w:p>
    <w:p>
      <w:pPr>
        <w:widowControl/>
        <w:spacing w:line="440" w:lineRule="exact"/>
        <w:ind w:firstLine="480" w:firstLineChars="200"/>
        <w:rPr>
          <w:rFonts w:ascii="Times New Roman" w:hAnsi="Times New Roman" w:eastAsia="宋体" w:cs="Times New Roman"/>
          <w:kern w:val="0"/>
        </w:rPr>
      </w:pPr>
      <w:r>
        <w:rPr>
          <w:rFonts w:hint="eastAsia" w:ascii="宋体" w:hAnsi="宋体" w:eastAsia="宋体" w:cs="宋体"/>
          <w:kern w:val="0"/>
        </w:rPr>
        <w:t>①</w:t>
      </w:r>
      <w:r>
        <w:rPr>
          <w:rFonts w:ascii="Times New Roman" w:hAnsi="Times New Roman" w:eastAsia="宋体" w:cs="Times New Roman"/>
          <w:kern w:val="0"/>
        </w:rPr>
        <w:t>猪场外环境消毒</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消毒用房均设置紫外线灯照射消毒；养殖场入口设置消毒池，池内保持有效的消毒液量及浓度，采用次氯酸钠或卫可溶液。门口应配备高压消毒枪，对进场车辆进行消毒，每周更换两次消毒液。</w:t>
      </w:r>
      <w:r>
        <w:rPr>
          <w:rFonts w:hint="eastAsia" w:ascii="Times New Roman" w:hAnsi="Times New Roman" w:eastAsia="宋体" w:cs="Times New Roman"/>
          <w:kern w:val="0"/>
        </w:rPr>
        <w:t>场外人员进场前，设置消毒间。</w:t>
      </w:r>
    </w:p>
    <w:p>
      <w:pPr>
        <w:widowControl/>
        <w:spacing w:line="440" w:lineRule="exact"/>
        <w:ind w:firstLine="480" w:firstLineChars="200"/>
        <w:rPr>
          <w:rFonts w:ascii="Times New Roman" w:hAnsi="Times New Roman" w:eastAsia="宋体" w:cs="Times New Roman"/>
          <w:kern w:val="0"/>
        </w:rPr>
      </w:pPr>
      <w:r>
        <w:rPr>
          <w:rFonts w:hint="eastAsia" w:ascii="宋体" w:hAnsi="宋体" w:eastAsia="宋体" w:cs="宋体"/>
          <w:kern w:val="0"/>
        </w:rPr>
        <w:t>②</w:t>
      </w:r>
      <w:r>
        <w:rPr>
          <w:rFonts w:ascii="Times New Roman" w:hAnsi="Times New Roman" w:eastAsia="宋体" w:cs="Times New Roman"/>
          <w:kern w:val="0"/>
        </w:rPr>
        <w:t>猪舍消毒</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圈舍每周栏内带猪消毒1次，使用0.3%~0.5%过氧乙酸喷雾，300mL/m</w:t>
      </w:r>
      <w:r>
        <w:rPr>
          <w:rFonts w:ascii="Times New Roman" w:hAnsi="Times New Roman" w:eastAsia="宋体" w:cs="Times New Roman"/>
          <w:kern w:val="0"/>
          <w:vertAlign w:val="superscript"/>
        </w:rPr>
        <w:t>2</w:t>
      </w:r>
      <w:r>
        <w:rPr>
          <w:rFonts w:ascii="Times New Roman" w:hAnsi="Times New Roman" w:eastAsia="宋体" w:cs="Times New Roman"/>
          <w:kern w:val="0"/>
        </w:rPr>
        <w:t>；整栏换舍后猪舍彻底清扫并冲洗后，使用卫可喷洒消毒，500mL/m</w:t>
      </w:r>
      <w:r>
        <w:rPr>
          <w:rFonts w:ascii="Times New Roman" w:hAnsi="Times New Roman" w:eastAsia="宋体" w:cs="Times New Roman"/>
          <w:kern w:val="0"/>
          <w:vertAlign w:val="superscript"/>
        </w:rPr>
        <w:t>2</w:t>
      </w:r>
      <w:r>
        <w:rPr>
          <w:rFonts w:ascii="Times New Roman" w:hAnsi="Times New Roman" w:eastAsia="宋体" w:cs="Times New Roman"/>
          <w:kern w:val="0"/>
        </w:rPr>
        <w:t>，间隔1天后重复进行一次；春秋两季各进行一次大消毒，用卫可或次氯酸钠溶液喷洒地面；运输猪和饲料的车辆，装运前后必须喷雾消毒。</w:t>
      </w:r>
    </w:p>
    <w:p>
      <w:pPr>
        <w:widowControl/>
        <w:spacing w:line="440" w:lineRule="exact"/>
        <w:ind w:firstLine="480" w:firstLineChars="200"/>
        <w:rPr>
          <w:rFonts w:ascii="Times New Roman" w:hAnsi="Times New Roman" w:eastAsia="宋体" w:cs="Times New Roman"/>
          <w:kern w:val="0"/>
        </w:rPr>
      </w:pPr>
      <w:r>
        <w:rPr>
          <w:rFonts w:hint="eastAsia" w:ascii="Times New Roman" w:hAnsi="Times New Roman" w:eastAsia="宋体" w:cs="Times New Roman"/>
          <w:kern w:val="0"/>
        </w:rPr>
        <w:t>养殖</w:t>
      </w:r>
      <w:r>
        <w:rPr>
          <w:rFonts w:ascii="Times New Roman" w:hAnsi="Times New Roman" w:eastAsia="宋体" w:cs="Times New Roman"/>
          <w:kern w:val="0"/>
        </w:rPr>
        <w:t>人员通过沐浴换装消毒后的工作服进行消毒，进入圈舍的物质（工具、衣物）通过熏蒸消毒。</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夏秋时节养殖场蚊蝇孽生，可采取化学、物理结合的方法驱蝇灭蚊，对于集粪池、污水沟等死水，每周使用高效农药化学杀虫剂消杀2次。同时在圈舍内安装灭蚊灯、门窗均安装纱窗。</w:t>
      </w:r>
    </w:p>
    <w:p>
      <w:pPr>
        <w:keepNext/>
        <w:keepLines/>
        <w:widowControl/>
        <w:spacing w:line="440" w:lineRule="exact"/>
        <w:ind w:firstLine="482" w:firstLineChars="200"/>
        <w:jc w:val="left"/>
        <w:outlineLvl w:val="3"/>
        <w:rPr>
          <w:rFonts w:ascii="Times New Roman" w:hAnsi="Times New Roman" w:eastAsia="宋体" w:cs="Times New Roman"/>
          <w:b/>
          <w:bCs/>
          <w:kern w:val="0"/>
        </w:rPr>
      </w:pPr>
      <w:r>
        <w:rPr>
          <w:rFonts w:ascii="Times New Roman" w:hAnsi="Times New Roman" w:eastAsia="宋体" w:cs="Times New Roman"/>
          <w:b/>
          <w:bCs/>
          <w:kern w:val="0"/>
        </w:rPr>
        <w:t>3.5.5</w:t>
      </w:r>
      <w:r>
        <w:rPr>
          <w:rFonts w:hint="eastAsia" w:ascii="Times New Roman" w:hAnsi="Times New Roman" w:eastAsia="宋体" w:cs="Times New Roman"/>
          <w:b/>
          <w:bCs/>
          <w:kern w:val="0"/>
        </w:rPr>
        <w:t>种猪选育</w:t>
      </w:r>
    </w:p>
    <w:p>
      <w:pPr>
        <w:widowControl/>
        <w:spacing w:line="440" w:lineRule="exact"/>
        <w:ind w:firstLine="480" w:firstLineChars="200"/>
        <w:rPr>
          <w:rFonts w:ascii="Times New Roman" w:hAnsi="Times New Roman" w:eastAsia="宋体" w:cs="Times New Roman"/>
          <w:kern w:val="0"/>
        </w:rPr>
      </w:pPr>
      <w:r>
        <w:rPr>
          <w:rFonts w:hint="eastAsia" w:ascii="宋体" w:hAnsi="宋体" w:eastAsia="宋体" w:cs="宋体"/>
          <w:kern w:val="0"/>
        </w:rPr>
        <w:t>①</w:t>
      </w:r>
      <w:r>
        <w:rPr>
          <w:rFonts w:ascii="Times New Roman" w:hAnsi="Times New Roman" w:eastAsia="宋体" w:cs="Times New Roman"/>
          <w:kern w:val="0"/>
        </w:rPr>
        <w:t>种猪选育</w:t>
      </w:r>
    </w:p>
    <w:p>
      <w:pPr>
        <w:widowControl/>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种猪要求健康、营养状况良好、发育正常、四肢结合合理、强健有力，体形外貌符合品种特征，耳号清晰，纯种猪应打上耳牌，以便标识。种母猪生殖器官要求发育正常，有效乳头应不低于6对，分布均匀对称。</w:t>
      </w:r>
    </w:p>
    <w:p>
      <w:pPr>
        <w:widowControl/>
        <w:spacing w:line="440" w:lineRule="exact"/>
        <w:ind w:firstLine="480" w:firstLineChars="200"/>
        <w:rPr>
          <w:rFonts w:ascii="Times New Roman" w:hAnsi="Times New Roman" w:eastAsia="宋体" w:cs="Times New Roman"/>
          <w:kern w:val="0"/>
        </w:rPr>
      </w:pPr>
      <w:r>
        <w:rPr>
          <w:rFonts w:hint="eastAsia" w:ascii="宋体" w:hAnsi="宋体" w:eastAsia="宋体" w:cs="宋体"/>
          <w:kern w:val="0"/>
        </w:rPr>
        <w:t>②</w:t>
      </w:r>
      <w:r>
        <w:rPr>
          <w:rFonts w:ascii="Times New Roman" w:hAnsi="Times New Roman" w:eastAsia="宋体" w:cs="Times New Roman"/>
          <w:kern w:val="0"/>
        </w:rPr>
        <w:t>种猪饲养阶段</w:t>
      </w:r>
    </w:p>
    <w:p>
      <w:pPr>
        <w:widowControl/>
        <w:spacing w:line="440" w:lineRule="exact"/>
        <w:ind w:firstLine="480" w:firstLineChars="200"/>
        <w:rPr>
          <w:rFonts w:ascii="Times New Roman" w:hAnsi="Times New Roman" w:eastAsia="宋体" w:cs="Times New Roman"/>
        </w:rPr>
      </w:pPr>
      <w:r>
        <w:rPr>
          <w:rFonts w:ascii="Times New Roman" w:hAnsi="Times New Roman" w:eastAsia="宋体" w:cs="Times New Roman"/>
          <w:kern w:val="0"/>
        </w:rPr>
        <w:t>结合当地气候和饲料条件及母猪体况，实施分阶段进行集中配种和产仔，以提高产房和保育舍的利用率</w:t>
      </w:r>
      <w:r>
        <w:rPr>
          <w:rFonts w:hint="eastAsia" w:ascii="Times New Roman" w:hAnsi="Times New Roman" w:eastAsia="宋体" w:cs="Times New Roman"/>
          <w:kern w:val="0"/>
        </w:rPr>
        <w:t>。</w:t>
      </w:r>
    </w:p>
    <w:p>
      <w:pPr>
        <w:pStyle w:val="3"/>
        <w:rPr>
          <w:rFonts w:cs="Times New Roman"/>
          <w:szCs w:val="32"/>
        </w:rPr>
      </w:pPr>
      <w:bookmarkStart w:id="74" w:name="_Toc502070093"/>
      <w:bookmarkStart w:id="75" w:name="_Toc30293"/>
      <w:bookmarkStart w:id="76" w:name="_Toc2958"/>
      <w:bookmarkStart w:id="77" w:name="_Toc102039295"/>
      <w:r>
        <w:rPr>
          <w:rFonts w:cs="Times New Roman"/>
          <w:szCs w:val="32"/>
        </w:rPr>
        <w:t>3.6项目变动情况</w:t>
      </w:r>
      <w:bookmarkEnd w:id="74"/>
      <w:bookmarkEnd w:id="75"/>
      <w:bookmarkEnd w:id="76"/>
      <w:bookmarkEnd w:id="77"/>
    </w:p>
    <w:p>
      <w:pPr>
        <w:tabs>
          <w:tab w:val="left" w:pos="3900"/>
          <w:tab w:val="left" w:pos="6060"/>
        </w:tabs>
        <w:spacing w:line="360" w:lineRule="auto"/>
        <w:ind w:firstLine="480" w:firstLineChars="200"/>
        <w:rPr>
          <w:rFonts w:ascii="Times New Roman" w:hAnsi="Times New Roman" w:cs="Times New Roman"/>
        </w:rPr>
      </w:pPr>
      <w:r>
        <w:rPr>
          <w:rFonts w:hint="eastAsia" w:ascii="Times New Roman" w:hAnsi="Times New Roman" w:cs="Times New Roman"/>
        </w:rPr>
        <w:t>与环评及其批复内容相比，项目选址、建设规模、产品方案、原材料种类及年消耗量、生产工艺未发生重大变动。发生变动的工程内容为：</w:t>
      </w:r>
    </w:p>
    <w:p>
      <w:pPr>
        <w:tabs>
          <w:tab w:val="left" w:pos="3900"/>
          <w:tab w:val="left" w:pos="6060"/>
        </w:tabs>
        <w:spacing w:line="360" w:lineRule="auto"/>
        <w:ind w:firstLine="480" w:firstLineChars="200"/>
        <w:rPr>
          <w:rFonts w:ascii="Times New Roman" w:hAnsi="Times New Roman" w:cs="Times New Roman"/>
        </w:rPr>
      </w:pPr>
      <w:r>
        <w:rPr>
          <w:rFonts w:hint="eastAsia" w:ascii="Times New Roman" w:hAnsi="Times New Roman" w:cs="Times New Roman"/>
        </w:rPr>
        <w:t>1、原环评库房用于各阶段生猪饲料及药品存储，实际建设内容为：库房只用于药品储存，猪饲料采用罐装的方式，直接供给养殖大楼；新增3</w:t>
      </w:r>
      <w:r>
        <w:rPr>
          <w:rFonts w:ascii="Times New Roman" w:hAnsi="Times New Roman" w:cs="Times New Roman"/>
        </w:rPr>
        <w:t>0</w:t>
      </w:r>
      <w:r>
        <w:rPr>
          <w:rFonts w:hint="eastAsia" w:ascii="Times New Roman" w:hAnsi="Times New Roman" w:cs="Times New Roman"/>
        </w:rPr>
        <w:t>m³饲料罐4个，2</w:t>
      </w:r>
      <w:r>
        <w:rPr>
          <w:rFonts w:ascii="Times New Roman" w:hAnsi="Times New Roman" w:cs="Times New Roman"/>
        </w:rPr>
        <w:t>0</w:t>
      </w:r>
      <w:r>
        <w:rPr>
          <w:rFonts w:hint="eastAsia" w:ascii="Times New Roman" w:hAnsi="Times New Roman" w:cs="Times New Roman"/>
        </w:rPr>
        <w:t>m³饲料罐3个，8m³饲料罐1个。</w:t>
      </w:r>
    </w:p>
    <w:p>
      <w:pPr>
        <w:tabs>
          <w:tab w:val="left" w:pos="3900"/>
          <w:tab w:val="left" w:pos="6060"/>
        </w:tabs>
        <w:spacing w:line="360" w:lineRule="auto"/>
        <w:ind w:firstLine="48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、食堂取消建设，工作餐依托农户。</w:t>
      </w:r>
    </w:p>
    <w:p>
      <w:pPr>
        <w:tabs>
          <w:tab w:val="left" w:pos="3900"/>
          <w:tab w:val="left" w:pos="6060"/>
        </w:tabs>
        <w:spacing w:line="360" w:lineRule="auto"/>
        <w:ind w:firstLine="480" w:firstLineChars="200"/>
        <w:rPr>
          <w:rFonts w:ascii="Times New Roman" w:hAnsi="Times New Roman" w:cs="Times New Roman"/>
        </w:rPr>
      </w:pPr>
      <w:r>
        <w:rPr>
          <w:rFonts w:ascii="Times New Roman" w:hAnsi="Times New Roman" w:cs="Times New Roman"/>
        </w:rPr>
        <w:t>和环评对比，拟验收项目的建设性质、规模、地点、生产工艺、环境保护措施等情况与环评基本一致，</w:t>
      </w:r>
      <w:r>
        <w:rPr>
          <w:rFonts w:hint="eastAsia" w:ascii="Times New Roman" w:hAnsi="Times New Roman" w:cs="Times New Roman"/>
        </w:rPr>
        <w:t>储存方式发生了变动，但未导致储存能力增大。</w:t>
      </w:r>
      <w:r>
        <w:rPr>
          <w:rFonts w:ascii="Times New Roman" w:hAnsi="Times New Roman" w:cs="Times New Roman"/>
        </w:rPr>
        <w:t>根据《关于印发《污染影响类建设项目重大变动清单（试行）》的通知》（环办环评函〔2020〕688 号），验收项目不</w:t>
      </w:r>
      <w:r>
        <w:rPr>
          <w:rFonts w:hint="eastAsia" w:ascii="Times New Roman" w:hAnsi="Times New Roman" w:cs="Times New Roman"/>
        </w:rPr>
        <w:t>涉及</w:t>
      </w:r>
      <w:r>
        <w:rPr>
          <w:rFonts w:ascii="Times New Roman" w:hAnsi="Times New Roman" w:cs="Times New Roman"/>
        </w:rPr>
        <w:t>重大变动。</w:t>
      </w:r>
    </w:p>
    <w:p>
      <w:pPr>
        <w:pStyle w:val="2"/>
        <w:rPr>
          <w:rFonts w:cs="Times New Roman"/>
        </w:rPr>
      </w:pPr>
      <w:bookmarkStart w:id="78" w:name="_Toc497988056"/>
      <w:bookmarkStart w:id="79" w:name="_Toc497987613"/>
      <w:bookmarkStart w:id="80" w:name="_Toc497926004"/>
      <w:bookmarkStart w:id="81" w:name="_Toc497987775"/>
      <w:r>
        <w:rPr>
          <w:rFonts w:cs="Times New Roman"/>
        </w:rPr>
        <w:br w:type="page"/>
      </w:r>
      <w:bookmarkStart w:id="82" w:name="_Toc10382"/>
      <w:bookmarkStart w:id="83" w:name="_Toc102039296"/>
      <w:bookmarkStart w:id="84" w:name="_Toc18782"/>
      <w:r>
        <w:rPr>
          <w:rFonts w:cs="Times New Roman"/>
          <w:szCs w:val="36"/>
        </w:rPr>
        <w:t>4 环境保护设施</w:t>
      </w:r>
      <w:bookmarkEnd w:id="78"/>
      <w:bookmarkEnd w:id="79"/>
      <w:bookmarkEnd w:id="80"/>
      <w:bookmarkEnd w:id="81"/>
      <w:bookmarkEnd w:id="82"/>
      <w:bookmarkEnd w:id="83"/>
      <w:bookmarkEnd w:id="84"/>
    </w:p>
    <w:p>
      <w:pPr>
        <w:pStyle w:val="3"/>
        <w:rPr>
          <w:rFonts w:cs="Times New Roman"/>
          <w:szCs w:val="32"/>
        </w:rPr>
      </w:pPr>
      <w:bookmarkStart w:id="85" w:name="_Toc12341"/>
      <w:bookmarkStart w:id="86" w:name="_Toc102039297"/>
      <w:bookmarkStart w:id="87" w:name="_Toc497987614"/>
      <w:bookmarkStart w:id="88" w:name="_Toc497926005"/>
      <w:bookmarkStart w:id="89" w:name="_Toc26409"/>
      <w:bookmarkStart w:id="90" w:name="_Toc497988057"/>
      <w:bookmarkStart w:id="91" w:name="_Toc497987776"/>
      <w:r>
        <w:rPr>
          <w:rFonts w:cs="Times New Roman"/>
          <w:szCs w:val="32"/>
        </w:rPr>
        <w:t>4.1污染物治理/处置设施</w:t>
      </w:r>
      <w:bookmarkEnd w:id="85"/>
      <w:bookmarkEnd w:id="86"/>
      <w:bookmarkEnd w:id="87"/>
      <w:bookmarkEnd w:id="88"/>
      <w:bookmarkEnd w:id="89"/>
      <w:bookmarkEnd w:id="90"/>
      <w:bookmarkEnd w:id="91"/>
    </w:p>
    <w:p>
      <w:pPr>
        <w:pStyle w:val="5"/>
        <w:rPr>
          <w:rFonts w:cs="Times New Roman"/>
          <w:sz w:val="30"/>
          <w:szCs w:val="30"/>
        </w:rPr>
      </w:pPr>
      <w:r>
        <w:rPr>
          <w:rFonts w:cs="Times New Roman"/>
          <w:sz w:val="30"/>
          <w:szCs w:val="30"/>
        </w:rPr>
        <w:t>4.1.1废水</w:t>
      </w:r>
    </w:p>
    <w:p>
      <w:pPr>
        <w:spacing w:line="360" w:lineRule="auto"/>
        <w:ind w:firstLine="482" w:firstLineChars="200"/>
        <w:rPr>
          <w:rFonts w:ascii="Times New Roman" w:hAnsi="Times New Roman" w:eastAsia="宋体" w:cs="Times New Roman"/>
          <w:b/>
          <w:bCs/>
        </w:rPr>
      </w:pPr>
      <w:r>
        <w:rPr>
          <w:rFonts w:ascii="Times New Roman" w:hAnsi="Times New Roman" w:eastAsia="宋体" w:cs="Times New Roman"/>
          <w:b/>
          <w:bCs/>
        </w:rPr>
        <w:t>1、废水污染防治措施</w:t>
      </w:r>
    </w:p>
    <w:p>
      <w:pPr>
        <w:spacing w:line="360" w:lineRule="auto"/>
        <w:ind w:firstLine="480" w:firstLineChars="200"/>
        <w:rPr>
          <w:rFonts w:ascii="Times New Roman" w:hAnsi="Times New Roman" w:eastAsia="宋体" w:cs="Times New Roman"/>
        </w:rPr>
      </w:pPr>
      <w:r>
        <w:rPr>
          <w:rFonts w:ascii="Times New Roman" w:hAnsi="Times New Roman" w:eastAsia="宋体" w:cs="Times New Roman"/>
        </w:rPr>
        <w:t>验收项目废水主要为生活污水及</w:t>
      </w:r>
      <w:r>
        <w:rPr>
          <w:rFonts w:hint="eastAsia" w:ascii="Times New Roman" w:hAnsi="Times New Roman" w:eastAsia="宋体" w:cs="Times New Roman"/>
        </w:rPr>
        <w:t>养殖</w:t>
      </w:r>
      <w:r>
        <w:rPr>
          <w:rFonts w:ascii="Times New Roman" w:hAnsi="Times New Roman" w:eastAsia="宋体" w:cs="Times New Roman"/>
        </w:rPr>
        <w:t>生产废水</w:t>
      </w:r>
      <w:r>
        <w:rPr>
          <w:rFonts w:hint="eastAsia" w:ascii="Times New Roman" w:hAnsi="Times New Roman" w:eastAsia="宋体" w:cs="Times New Roman"/>
        </w:rPr>
        <w:t>。</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厂区内建设污水处理站1座，处理工艺为“固液分离+调节池+厌氧池”，设计处理规模为40m</w:t>
      </w:r>
      <w:r>
        <w:rPr>
          <w:rFonts w:hint="eastAsia" w:ascii="Times New Roman" w:hAnsi="Times New Roman" w:eastAsia="宋体" w:cs="Times New Roman"/>
          <w:vertAlign w:val="superscript"/>
        </w:rPr>
        <w:t>3</w:t>
      </w:r>
      <w:r>
        <w:rPr>
          <w:rFonts w:hint="eastAsia" w:ascii="Times New Roman" w:hAnsi="Times New Roman" w:eastAsia="宋体" w:cs="Times New Roman"/>
        </w:rPr>
        <w:t>/d；沼液进入沼液存储池存储，场内设置一个沼液池容积为7500m</w:t>
      </w:r>
      <w:r>
        <w:rPr>
          <w:rFonts w:hint="eastAsia" w:ascii="Times New Roman" w:hAnsi="Times New Roman" w:eastAsia="宋体" w:cs="Times New Roman"/>
          <w:vertAlign w:val="superscript"/>
        </w:rPr>
        <w:t>3</w:t>
      </w:r>
      <w:r>
        <w:rPr>
          <w:rFonts w:hint="eastAsia" w:ascii="Times New Roman" w:hAnsi="Times New Roman" w:eastAsia="宋体" w:cs="Times New Roman"/>
        </w:rPr>
        <w:t>，场外两个高位沼液池，均为500m</w:t>
      </w:r>
      <w:r>
        <w:rPr>
          <w:rFonts w:hint="eastAsia" w:ascii="Times New Roman" w:hAnsi="Times New Roman" w:eastAsia="宋体" w:cs="Times New Roman"/>
          <w:vertAlign w:val="superscript"/>
        </w:rPr>
        <w:t>3</w:t>
      </w:r>
      <w:r>
        <w:rPr>
          <w:rFonts w:hint="eastAsia" w:ascii="Times New Roman" w:hAnsi="Times New Roman" w:eastAsia="宋体" w:cs="Times New Roman"/>
        </w:rPr>
        <w:t>，配套还田管网，沼液输送干管直径为DN75，支管直径为DN40，总长度约10km。沼气系统配备气水分离器、脱硫塔、贮气柜、放空火炬，储气袋容积80m</w:t>
      </w:r>
      <w:r>
        <w:rPr>
          <w:rFonts w:hint="eastAsia" w:ascii="Times New Roman" w:hAnsi="Times New Roman" w:eastAsia="宋体" w:cs="Times New Roman"/>
          <w:vertAlign w:val="superscript"/>
        </w:rPr>
        <w:t>3</w:t>
      </w:r>
      <w:r>
        <w:rPr>
          <w:rFonts w:hint="eastAsia" w:ascii="Times New Roman" w:hAnsi="Times New Roman" w:eastAsia="宋体" w:cs="Times New Roman"/>
        </w:rPr>
        <w:t>。废水处理后沼液还田区域为4010亩农田，保证废水合理还田利用，不外排。</w:t>
      </w:r>
    </w:p>
    <w:p>
      <w:pPr>
        <w:adjustRightInd w:val="0"/>
        <w:snapToGrid w:val="0"/>
        <w:spacing w:line="360" w:lineRule="auto"/>
        <w:ind w:firstLine="482" w:firstLineChars="200"/>
        <w:rPr>
          <w:rFonts w:ascii="Times New Roman" w:hAnsi="Times New Roman" w:cs="Times New Roman"/>
          <w:b/>
          <w:bCs/>
        </w:rPr>
      </w:pPr>
      <w:r>
        <w:rPr>
          <w:rFonts w:ascii="Times New Roman" w:hAnsi="Times New Roman" w:cs="Times New Roman"/>
          <w:b/>
          <w:bCs/>
        </w:rPr>
        <w:t>2、废水处理设施建设情况</w:t>
      </w:r>
    </w:p>
    <w:p>
      <w:pPr>
        <w:adjustRightInd w:val="0"/>
        <w:spacing w:line="360" w:lineRule="auto"/>
        <w:ind w:firstLine="480" w:firstLineChars="200"/>
        <w:rPr>
          <w:rFonts w:ascii="Times New Roman" w:hAnsi="Times New Roman" w:eastAsia="宋体" w:cs="Times New Roman"/>
          <w:color w:val="000000"/>
        </w:rPr>
      </w:pPr>
      <w:r>
        <w:rPr>
          <w:rFonts w:hint="eastAsia" w:ascii="Times New Roman" w:hAnsi="Times New Roman" w:eastAsia="宋体" w:cs="Times New Roman"/>
          <w:color w:val="000000"/>
        </w:rPr>
        <w:t>已建成一座处理能力为</w:t>
      </w:r>
      <w:r>
        <w:rPr>
          <w:rFonts w:ascii="Times New Roman" w:hAnsi="Times New Roman" w:eastAsia="宋体" w:cs="Times New Roman"/>
          <w:color w:val="000000"/>
        </w:rPr>
        <w:t>40</w:t>
      </w:r>
      <w:r>
        <w:rPr>
          <w:rFonts w:hint="eastAsia" w:ascii="Times New Roman" w:hAnsi="Times New Roman" w:eastAsia="宋体" w:cs="Times New Roman"/>
          <w:color w:val="000000"/>
        </w:rPr>
        <w:t>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w:t>
      </w:r>
      <w:r>
        <w:rPr>
          <w:rFonts w:hint="eastAsia" w:ascii="Times New Roman" w:hAnsi="Times New Roman" w:eastAsia="宋体" w:cs="Times New Roman"/>
          <w:color w:val="000000"/>
        </w:rPr>
        <w:t>d的污水处理站。</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adjustRightInd w:val="0"/>
              <w:spacing w:line="360" w:lineRule="auto"/>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2546985" cy="1910715"/>
                  <wp:effectExtent l="0" t="0" r="5715" b="0"/>
                  <wp:docPr id="1689471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71775"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78808" cy="1934416"/>
                          </a:xfrm>
                          <a:prstGeom prst="rect">
                            <a:avLst/>
                          </a:prstGeom>
                          <a:noFill/>
                          <a:ln>
                            <a:noFill/>
                          </a:ln>
                        </pic:spPr>
                      </pic:pic>
                    </a:graphicData>
                  </a:graphic>
                </wp:inline>
              </w:drawing>
            </w:r>
          </w:p>
        </w:tc>
        <w:tc>
          <w:tcPr>
            <w:tcW w:w="4264" w:type="dxa"/>
          </w:tcPr>
          <w:p>
            <w:pPr>
              <w:adjustRightInd w:val="0"/>
              <w:spacing w:line="360" w:lineRule="auto"/>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2548255" cy="1911350"/>
                  <wp:effectExtent l="0" t="0" r="4445" b="0"/>
                  <wp:docPr id="2599279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27931"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391" cy="191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adjustRightInd w:val="0"/>
              <w:spacing w:line="360" w:lineRule="auto"/>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2548255" cy="1911350"/>
                  <wp:effectExtent l="0" t="0" r="4445" b="0"/>
                  <wp:docPr id="5688913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1345"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391" cy="1911600"/>
                          </a:xfrm>
                          <a:prstGeom prst="rect">
                            <a:avLst/>
                          </a:prstGeom>
                          <a:noFill/>
                          <a:ln>
                            <a:noFill/>
                          </a:ln>
                        </pic:spPr>
                      </pic:pic>
                    </a:graphicData>
                  </a:graphic>
                </wp:inline>
              </w:drawing>
            </w:r>
          </w:p>
        </w:tc>
        <w:tc>
          <w:tcPr>
            <w:tcW w:w="4264" w:type="dxa"/>
          </w:tcPr>
          <w:p>
            <w:pPr>
              <w:adjustRightInd w:val="0"/>
              <w:spacing w:line="360" w:lineRule="auto"/>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2548255" cy="1911350"/>
                  <wp:effectExtent l="0" t="0" r="4445" b="0"/>
                  <wp:docPr id="9914929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92989"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391" cy="191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adjustRightInd w:val="0"/>
              <w:spacing w:line="360" w:lineRule="auto"/>
              <w:jc w:val="center"/>
              <w:rPr>
                <w:rFonts w:ascii="Times New Roman" w:hAnsi="Times New Roman" w:eastAsia="宋体" w:cs="Times New Roman"/>
                <w:color w:val="000000"/>
              </w:rPr>
            </w:pPr>
            <w:r>
              <w:rPr>
                <w:rFonts w:hint="eastAsia" w:ascii="Times New Roman" w:hAnsi="Times New Roman" w:eastAsia="宋体" w:cs="Times New Roman"/>
                <w:color w:val="000000"/>
              </w:rPr>
              <w:t>污水处理站</w:t>
            </w:r>
          </w:p>
        </w:tc>
      </w:tr>
    </w:tbl>
    <w:p>
      <w:pPr>
        <w:pStyle w:val="5"/>
        <w:rPr>
          <w:rFonts w:cs="Times New Roman"/>
          <w:sz w:val="30"/>
          <w:szCs w:val="30"/>
        </w:rPr>
      </w:pPr>
      <w:r>
        <w:rPr>
          <w:rFonts w:cs="Times New Roman"/>
          <w:sz w:val="30"/>
          <w:szCs w:val="30"/>
        </w:rPr>
        <w:t>4.1.2 废气</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1、猪舍、粪污处理废气</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猪舍内及污水处理站周围施用除臭剂；猪粪内的猪粪日产日清，及时清运猪粪缩短猪粪在厂区的堆存时间；在养殖区、调节池周围及各猪舍间种植树木，猪舍设置水帘除臭装置。</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2、食堂</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食堂取消建设，工作餐依托农户。</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3、柴油发电机</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备用柴油发电机废气通过专用排气筒引至楼顶排放。</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4、养殖场</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以猪舍、粪污区为起点外扩200m范围设置为环境防护距离，涉及居民拟实施功能置换；且场界外500m范围内禁止规划新建学校、医院、集中居民区等环境敏感点。</w:t>
      </w:r>
    </w:p>
    <w:p>
      <w:pPr>
        <w:adjustRightInd w:val="0"/>
        <w:snapToGrid w:val="0"/>
        <w:spacing w:before="312" w:beforeLines="100" w:line="360" w:lineRule="auto"/>
        <w:rPr>
          <w:rFonts w:ascii="Times New Roman" w:hAnsi="Times New Roman" w:cs="Times New Roman"/>
          <w:b/>
          <w:bCs/>
        </w:rPr>
      </w:pPr>
      <w:r>
        <w:rPr>
          <w:rFonts w:ascii="Times New Roman" w:hAnsi="Times New Roman" w:cs="Times New Roman"/>
          <w:b/>
          <w:bCs/>
        </w:rPr>
        <w:t>2、废气处理设施建设情况</w:t>
      </w:r>
    </w:p>
    <w:p>
      <w:pPr>
        <w:pStyle w:val="72"/>
        <w:adjustRightInd w:val="0"/>
        <w:snapToGrid w:val="0"/>
        <w:spacing w:line="360" w:lineRule="auto"/>
        <w:ind w:firstLine="480" w:firstLineChars="200"/>
        <w:rPr>
          <w:rFonts w:hint="default" w:ascii="宋体" w:hAnsi="宋体" w:eastAsia="宋体" w:cs="宋体"/>
          <w:color w:val="auto"/>
          <w:sz w:val="24"/>
          <w:szCs w:val="24"/>
        </w:rPr>
      </w:pPr>
      <w:r>
        <w:rPr>
          <w:rFonts w:hint="default" w:ascii="Times New Roman" w:hAnsi="Times New Roman" w:eastAsia="宋体" w:cs="Times New Roman"/>
          <w:color w:val="auto"/>
          <w:sz w:val="24"/>
          <w:szCs w:val="24"/>
        </w:rPr>
        <w:t>验收项目</w:t>
      </w:r>
      <w:r>
        <w:rPr>
          <w:rFonts w:ascii="宋体" w:hAnsi="宋体" w:eastAsia="宋体" w:cs="宋体"/>
          <w:color w:val="auto"/>
          <w:sz w:val="24"/>
          <w:szCs w:val="24"/>
        </w:rPr>
        <w:t>废气处理设施</w:t>
      </w:r>
      <w:r>
        <w:rPr>
          <w:rFonts w:hint="default" w:ascii="Times New Roman" w:hAnsi="Times New Roman" w:eastAsia="宋体" w:cs="Times New Roman"/>
          <w:color w:val="auto"/>
          <w:sz w:val="24"/>
          <w:szCs w:val="24"/>
        </w:rPr>
        <w:t>和环评一致</w:t>
      </w:r>
      <w:r>
        <w:rPr>
          <w:rFonts w:ascii="宋体" w:hAnsi="宋体" w:eastAsia="宋体" w:cs="宋体"/>
          <w:color w:val="auto"/>
          <w:sz w:val="24"/>
          <w:szCs w:val="24"/>
        </w:rPr>
        <w:t>。</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72"/>
              <w:adjustRightInd w:val="0"/>
              <w:snapToGrid w:val="0"/>
              <w:spacing w:line="360" w:lineRule="auto"/>
              <w:rPr>
                <w:rFonts w:hint="default" w:ascii="宋体" w:hAnsi="宋体" w:eastAsia="宋体" w:cs="宋体"/>
                <w:color w:val="auto"/>
                <w:sz w:val="24"/>
                <w:szCs w:val="24"/>
              </w:rPr>
            </w:pPr>
            <w:r>
              <w:rPr>
                <w:rFonts w:ascii="宋体" w:hAnsi="宋体" w:eastAsia="宋体" w:cs="宋体"/>
                <w:color w:val="auto"/>
                <w:sz w:val="24"/>
                <w:szCs w:val="24"/>
              </w:rPr>
              <w:drawing>
                <wp:inline distT="0" distB="0" distL="0" distR="0">
                  <wp:extent cx="2548255" cy="1911350"/>
                  <wp:effectExtent l="0" t="0" r="4445" b="0"/>
                  <wp:docPr id="2597009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00927"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391" cy="1911600"/>
                          </a:xfrm>
                          <a:prstGeom prst="rect">
                            <a:avLst/>
                          </a:prstGeom>
                          <a:noFill/>
                          <a:ln>
                            <a:noFill/>
                          </a:ln>
                        </pic:spPr>
                      </pic:pic>
                    </a:graphicData>
                  </a:graphic>
                </wp:inline>
              </w:drawing>
            </w:r>
          </w:p>
        </w:tc>
        <w:tc>
          <w:tcPr>
            <w:tcW w:w="4264" w:type="dxa"/>
          </w:tcPr>
          <w:p>
            <w:pPr>
              <w:pStyle w:val="72"/>
              <w:adjustRightInd w:val="0"/>
              <w:snapToGrid w:val="0"/>
              <w:spacing w:line="360" w:lineRule="auto"/>
              <w:rPr>
                <w:rFonts w:hint="default" w:ascii="宋体" w:hAnsi="宋体" w:eastAsia="宋体" w:cs="宋体"/>
                <w:color w:val="auto"/>
                <w:sz w:val="24"/>
                <w:szCs w:val="24"/>
              </w:rPr>
            </w:pPr>
            <w:r>
              <w:rPr>
                <w:rFonts w:ascii="宋体" w:hAnsi="宋体" w:eastAsia="宋体" w:cs="宋体"/>
                <w:color w:val="auto"/>
                <w:sz w:val="24"/>
                <w:szCs w:val="24"/>
              </w:rPr>
              <w:drawing>
                <wp:inline distT="0" distB="0" distL="0" distR="0">
                  <wp:extent cx="2548255" cy="1911350"/>
                  <wp:effectExtent l="0" t="0" r="4445" b="0"/>
                  <wp:docPr id="3201784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78422"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391" cy="191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72"/>
              <w:adjustRightInd w:val="0"/>
              <w:snapToGrid w:val="0"/>
              <w:spacing w:line="360" w:lineRule="auto"/>
              <w:jc w:val="center"/>
              <w:rPr>
                <w:rFonts w:hint="default" w:ascii="宋体" w:hAnsi="宋体" w:eastAsia="宋体" w:cs="宋体"/>
                <w:color w:val="auto"/>
              </w:rPr>
            </w:pPr>
            <w:r>
              <w:rPr>
                <w:rFonts w:ascii="宋体" w:hAnsi="宋体" w:eastAsia="宋体" w:cs="宋体"/>
                <w:color w:val="auto"/>
              </w:rPr>
              <w:t>柴油发电机废气排口</w:t>
            </w:r>
          </w:p>
        </w:tc>
        <w:tc>
          <w:tcPr>
            <w:tcW w:w="4264" w:type="dxa"/>
          </w:tcPr>
          <w:p>
            <w:pPr>
              <w:pStyle w:val="72"/>
              <w:adjustRightInd w:val="0"/>
              <w:snapToGrid w:val="0"/>
              <w:spacing w:line="360" w:lineRule="auto"/>
              <w:jc w:val="center"/>
              <w:rPr>
                <w:rFonts w:hint="default" w:ascii="宋体" w:hAnsi="宋体" w:eastAsia="宋体" w:cs="宋体"/>
                <w:color w:val="auto"/>
              </w:rPr>
            </w:pPr>
            <w:r>
              <w:rPr>
                <w:rFonts w:ascii="Times New Roman" w:hAnsi="Times New Roman" w:eastAsia="宋体" w:cs="Times New Roman"/>
              </w:rPr>
              <w:t>猪舍、粪污处理废气排口及周边绿化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72"/>
              <w:adjustRightInd w:val="0"/>
              <w:snapToGrid w:val="0"/>
              <w:spacing w:line="360" w:lineRule="auto"/>
              <w:rPr>
                <w:rFonts w:hint="default" w:ascii="宋体" w:hAnsi="宋体" w:eastAsia="宋体" w:cs="宋体"/>
                <w:color w:val="auto"/>
              </w:rPr>
            </w:pPr>
            <w:r>
              <w:rPr>
                <w:rFonts w:ascii="宋体" w:hAnsi="宋体" w:eastAsia="宋体" w:cs="宋体"/>
                <w:color w:val="auto"/>
              </w:rPr>
              <w:drawing>
                <wp:inline distT="0" distB="0" distL="0" distR="0">
                  <wp:extent cx="2549525" cy="1911350"/>
                  <wp:effectExtent l="0" t="0" r="3175" b="0"/>
                  <wp:docPr id="1613647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478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50026" cy="1911600"/>
                          </a:xfrm>
                          <a:prstGeom prst="rect">
                            <a:avLst/>
                          </a:prstGeom>
                          <a:noFill/>
                          <a:ln>
                            <a:noFill/>
                          </a:ln>
                        </pic:spPr>
                      </pic:pic>
                    </a:graphicData>
                  </a:graphic>
                </wp:inline>
              </w:drawing>
            </w:r>
          </w:p>
        </w:tc>
        <w:tc>
          <w:tcPr>
            <w:tcW w:w="4264" w:type="dxa"/>
          </w:tcPr>
          <w:p>
            <w:pPr>
              <w:pStyle w:val="72"/>
              <w:adjustRightInd w:val="0"/>
              <w:snapToGrid w:val="0"/>
              <w:spacing w:line="360" w:lineRule="auto"/>
              <w:rPr>
                <w:rFonts w:hint="default" w:ascii="宋体" w:hAnsi="宋体" w:eastAsia="宋体" w:cs="宋体"/>
                <w:color w:val="auto"/>
              </w:rPr>
            </w:pPr>
            <w:r>
              <w:rPr>
                <w:rFonts w:ascii="宋体" w:hAnsi="宋体" w:eastAsia="宋体" w:cs="宋体"/>
                <w:color w:val="auto"/>
              </w:rPr>
              <w:drawing>
                <wp:inline distT="0" distB="0" distL="0" distR="0">
                  <wp:extent cx="2549525" cy="1911350"/>
                  <wp:effectExtent l="0" t="0" r="3175" b="0"/>
                  <wp:docPr id="16160332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3271"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50027" cy="191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pStyle w:val="72"/>
              <w:adjustRightInd w:val="0"/>
              <w:snapToGrid w:val="0"/>
              <w:spacing w:line="360" w:lineRule="auto"/>
              <w:jc w:val="center"/>
              <w:rPr>
                <w:rFonts w:hint="default" w:ascii="宋体" w:hAnsi="宋体" w:eastAsia="宋体" w:cs="宋体"/>
                <w:color w:val="auto"/>
              </w:rPr>
            </w:pPr>
            <w:r>
              <w:rPr>
                <w:rFonts w:ascii="宋体" w:hAnsi="宋体" w:eastAsia="宋体" w:cs="宋体"/>
                <w:color w:val="auto"/>
              </w:rPr>
              <w:t>已功能置换的农户</w:t>
            </w:r>
          </w:p>
        </w:tc>
        <w:tc>
          <w:tcPr>
            <w:tcW w:w="4264" w:type="dxa"/>
          </w:tcPr>
          <w:p>
            <w:pPr>
              <w:pStyle w:val="72"/>
              <w:adjustRightInd w:val="0"/>
              <w:snapToGrid w:val="0"/>
              <w:spacing w:line="360" w:lineRule="auto"/>
              <w:jc w:val="center"/>
              <w:rPr>
                <w:rFonts w:hint="default" w:ascii="宋体" w:hAnsi="宋体" w:eastAsia="宋体" w:cs="宋体"/>
                <w:color w:val="auto"/>
              </w:rPr>
            </w:pPr>
            <w:r>
              <w:rPr>
                <w:rFonts w:ascii="宋体" w:hAnsi="宋体" w:eastAsia="宋体" w:cs="宋体"/>
                <w:color w:val="auto"/>
              </w:rPr>
              <w:t>已功能置换的农户</w:t>
            </w:r>
          </w:p>
        </w:tc>
      </w:tr>
    </w:tbl>
    <w:p>
      <w:pPr>
        <w:pStyle w:val="5"/>
        <w:rPr>
          <w:rFonts w:cs="Times New Roman"/>
          <w:sz w:val="30"/>
          <w:szCs w:val="30"/>
        </w:rPr>
      </w:pPr>
      <w:r>
        <w:rPr>
          <w:rFonts w:cs="Times New Roman"/>
          <w:sz w:val="30"/>
          <w:szCs w:val="30"/>
        </w:rPr>
        <w:t>4.1.3噪声污染物分析及治理排放情况</w:t>
      </w:r>
    </w:p>
    <w:p>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本项目噪声源主要为设备噪声，具体噪声治理及排放情况详见表4.1-3。</w:t>
      </w:r>
    </w:p>
    <w:p>
      <w:pPr>
        <w:ind w:firstLine="422" w:firstLineChars="200"/>
        <w:jc w:val="center"/>
        <w:rPr>
          <w:rFonts w:ascii="Times New Roman" w:hAnsi="Times New Roman" w:cs="Times New Roman"/>
        </w:rPr>
      </w:pPr>
      <w:r>
        <w:rPr>
          <w:rFonts w:ascii="Times New Roman" w:hAnsi="Times New Roman" w:cs="Times New Roman"/>
          <w:b/>
          <w:sz w:val="21"/>
          <w:szCs w:val="21"/>
        </w:rPr>
        <w:t>表4.1-3  噪声污染物分析及治理排放情况</w:t>
      </w:r>
    </w:p>
    <w:tbl>
      <w:tblPr>
        <w:tblStyle w:val="47"/>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42"/>
        <w:gridCol w:w="506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622"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942"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产污</w:t>
            </w:r>
          </w:p>
          <w:p>
            <w:pPr>
              <w:jc w:val="center"/>
              <w:rPr>
                <w:rFonts w:ascii="Times New Roman" w:hAnsi="Times New Roman" w:cs="Times New Roman"/>
                <w:b/>
                <w:sz w:val="21"/>
                <w:szCs w:val="21"/>
              </w:rPr>
            </w:pPr>
            <w:r>
              <w:rPr>
                <w:rFonts w:ascii="Times New Roman" w:hAnsi="Times New Roman" w:cs="Times New Roman"/>
                <w:b/>
                <w:sz w:val="21"/>
                <w:szCs w:val="21"/>
              </w:rPr>
              <w:t>环节</w:t>
            </w:r>
          </w:p>
        </w:tc>
        <w:tc>
          <w:tcPr>
            <w:tcW w:w="5065"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噪声治理采取措施</w:t>
            </w:r>
          </w:p>
        </w:tc>
        <w:tc>
          <w:tcPr>
            <w:tcW w:w="2555"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942" w:type="dxa"/>
            <w:vAlign w:val="center"/>
          </w:tcPr>
          <w:p>
            <w:pPr>
              <w:rPr>
                <w:rFonts w:ascii="Times New Roman" w:hAnsi="Times New Roman" w:cs="Times New Roman"/>
                <w:sz w:val="21"/>
                <w:szCs w:val="21"/>
              </w:rPr>
            </w:pPr>
            <w:r>
              <w:rPr>
                <w:rFonts w:ascii="Times New Roman" w:hAnsi="Times New Roman" w:cs="Times New Roman"/>
                <w:sz w:val="21"/>
                <w:szCs w:val="21"/>
              </w:rPr>
              <w:t>生产设</w:t>
            </w:r>
          </w:p>
          <w:p>
            <w:pPr>
              <w:rPr>
                <w:rFonts w:ascii="Times New Roman" w:hAnsi="Times New Roman" w:eastAsia="宋体" w:cs="Times New Roman"/>
                <w:sz w:val="21"/>
                <w:szCs w:val="21"/>
              </w:rPr>
            </w:pPr>
            <w:r>
              <w:rPr>
                <w:rFonts w:ascii="Times New Roman" w:hAnsi="Times New Roman" w:cs="Times New Roman"/>
                <w:sz w:val="21"/>
                <w:szCs w:val="21"/>
              </w:rPr>
              <w:t>备噪声</w:t>
            </w:r>
          </w:p>
        </w:tc>
        <w:tc>
          <w:tcPr>
            <w:tcW w:w="5065" w:type="dxa"/>
            <w:vAlign w:val="center"/>
          </w:tcPr>
          <w:p>
            <w:pPr>
              <w:pStyle w:val="72"/>
              <w:jc w:val="center"/>
              <w:rPr>
                <w:rFonts w:hint="default" w:ascii="Times New Roman" w:hAnsi="Times New Roman" w:eastAsia="宋体" w:cs="Times New Roman"/>
                <w:color w:val="auto"/>
              </w:rPr>
            </w:pPr>
            <w:r>
              <w:rPr>
                <w:rFonts w:ascii="宋体" w:hAnsi="宋体" w:eastAsia="宋体" w:cs="宋体"/>
                <w:color w:val="auto"/>
              </w:rPr>
              <w:t>选用低噪声设备、建筑隔声、基础减震</w:t>
            </w:r>
            <w:r>
              <w:rPr>
                <w:rFonts w:hint="default" w:ascii="Times New Roman" w:hAnsi="Times New Roman" w:eastAsia="宋体" w:cs="Times New Roman"/>
                <w:color w:val="auto"/>
              </w:rPr>
              <w:t>、定期维护以保证设备正常运行</w:t>
            </w:r>
          </w:p>
        </w:tc>
        <w:tc>
          <w:tcPr>
            <w:tcW w:w="255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此次验收以测厂界环境噪声来判断项目合格与否</w:t>
            </w:r>
          </w:p>
        </w:tc>
      </w:tr>
    </w:tbl>
    <w:p>
      <w:pPr>
        <w:pStyle w:val="5"/>
        <w:rPr>
          <w:rFonts w:cs="Times New Roman"/>
          <w:sz w:val="30"/>
          <w:szCs w:val="30"/>
        </w:rPr>
      </w:pPr>
      <w:r>
        <w:rPr>
          <w:rFonts w:cs="Times New Roman"/>
          <w:sz w:val="30"/>
          <w:szCs w:val="30"/>
        </w:rPr>
        <w:t>4.1.4固废</w:t>
      </w:r>
    </w:p>
    <w:p>
      <w:pPr>
        <w:adjustRightInd w:val="0"/>
        <w:spacing w:line="360" w:lineRule="auto"/>
        <w:ind w:firstLine="480" w:firstLineChars="200"/>
        <w:rPr>
          <w:rFonts w:ascii="Times New Roman" w:hAnsi="Times New Roman" w:eastAsia="宋体" w:cs="Times New Roman"/>
          <w:color w:val="000000"/>
          <w:szCs w:val="20"/>
          <w:lang w:val="zh-CN"/>
        </w:rPr>
      </w:pPr>
      <w:r>
        <w:rPr>
          <w:rFonts w:hint="eastAsia" w:ascii="Times New Roman" w:hAnsi="Times New Roman" w:eastAsia="宋体" w:cs="Times New Roman"/>
          <w:color w:val="000000"/>
          <w:szCs w:val="20"/>
          <w:lang w:val="zh-CN"/>
        </w:rPr>
        <w:t>验收项目固体废物包含：猪粪、沼渣、病死猪及分娩废物、医疗废物、生活垃圾、废脱硫剂。</w:t>
      </w:r>
    </w:p>
    <w:p>
      <w:pPr>
        <w:adjustRightInd w:val="0"/>
        <w:spacing w:line="360" w:lineRule="auto"/>
        <w:ind w:firstLine="480" w:firstLineChars="200"/>
        <w:rPr>
          <w:rFonts w:ascii="Times New Roman" w:hAnsi="Times New Roman" w:eastAsia="宋体" w:cs="Times New Roman"/>
          <w:color w:val="000000"/>
          <w:szCs w:val="20"/>
          <w:lang w:val="zh-CN"/>
        </w:rPr>
      </w:pPr>
      <w:r>
        <w:rPr>
          <w:rFonts w:hint="eastAsia" w:ascii="Times New Roman" w:hAnsi="Times New Roman" w:eastAsia="宋体" w:cs="Times New Roman"/>
          <w:color w:val="000000"/>
          <w:szCs w:val="20"/>
          <w:lang w:val="zh-CN"/>
        </w:rPr>
        <w:t>猪粪及沼渣委托给重庆合川区旭樾飞生物科技有限公司处理，用于制作有机肥；病死猪及分娩废物设置2口安全填埋井，安全填埋，总容积300m³，近期进行安全填埋，远期合川病死畜禽集中无害化处理项目建成后，交合川区动物无害化处理场进行集中处置；医疗废物设置危险废物暂存间，位于厂区南侧，建筑面积约5m</w:t>
      </w:r>
      <w:r>
        <w:rPr>
          <w:rFonts w:hint="eastAsia" w:ascii="Times New Roman" w:hAnsi="Times New Roman" w:eastAsia="宋体" w:cs="Times New Roman"/>
          <w:color w:val="000000"/>
          <w:szCs w:val="20"/>
          <w:vertAlign w:val="superscript"/>
          <w:lang w:val="zh-CN"/>
        </w:rPr>
        <w:t>2</w:t>
      </w:r>
      <w:r>
        <w:rPr>
          <w:rFonts w:hint="eastAsia" w:ascii="Times New Roman" w:hAnsi="Times New Roman" w:eastAsia="宋体" w:cs="Times New Roman"/>
          <w:color w:val="000000"/>
          <w:szCs w:val="20"/>
          <w:lang w:val="zh-CN"/>
        </w:rPr>
        <w:t>，医疗废物暂存于危险废物暂存间，定期交由有资质的单位处置；废脱硫剂由厂家进行更换并回收。</w:t>
      </w:r>
    </w:p>
    <w:p>
      <w:pPr>
        <w:adjustRightInd w:val="0"/>
        <w:spacing w:line="360" w:lineRule="auto"/>
        <w:ind w:firstLine="480" w:firstLineChars="200"/>
        <w:rPr>
          <w:rFonts w:ascii="Times New Roman" w:hAnsi="Times New Roman" w:eastAsia="宋体" w:cs="Times New Roman"/>
          <w:color w:val="000000"/>
          <w:szCs w:val="20"/>
          <w:lang w:val="zh-CN"/>
        </w:rPr>
      </w:pPr>
      <w:r>
        <w:rPr>
          <w:rFonts w:hint="eastAsia" w:ascii="Times New Roman" w:hAnsi="Times New Roman" w:eastAsia="宋体" w:cs="Times New Roman"/>
          <w:color w:val="000000"/>
          <w:szCs w:val="20"/>
          <w:lang w:val="zh-CN"/>
        </w:rPr>
        <w:t>生活垃圾袋装化收集，集中堆放，专人管理，定期交环卫部门处理。</w:t>
      </w:r>
    </w:p>
    <w:p>
      <w:pPr>
        <w:adjustRightInd w:val="0"/>
        <w:spacing w:line="360" w:lineRule="auto"/>
        <w:ind w:firstLine="480" w:firstLineChars="200"/>
        <w:rPr>
          <w:rFonts w:ascii="Times New Roman" w:hAnsi="Times New Roman" w:cs="Times New Roman"/>
          <w:lang w:val="zh-CN"/>
        </w:rPr>
      </w:pPr>
      <w:r>
        <w:rPr>
          <w:rFonts w:hint="eastAsia" w:ascii="Times New Roman" w:hAnsi="Times New Roman" w:eastAsia="宋体" w:cs="Times New Roman"/>
          <w:color w:val="000000"/>
          <w:szCs w:val="20"/>
          <w:lang w:val="zh-CN"/>
        </w:rPr>
        <w:t>综上，本项目所产固体废弃物去向明确、合理、安全，不会造成二次污染，可实现“资源化、无害化”目标。</w:t>
      </w:r>
    </w:p>
    <w:p>
      <w:pPr>
        <w:pStyle w:val="3"/>
        <w:rPr>
          <w:rFonts w:cs="Times New Roman"/>
        </w:rPr>
      </w:pPr>
      <w:bookmarkStart w:id="92" w:name="_Toc102039298"/>
      <w:r>
        <w:rPr>
          <w:rFonts w:cs="Times New Roman"/>
        </w:rPr>
        <w:t>4.2其他环境保护设施</w:t>
      </w:r>
      <w:bookmarkEnd w:id="92"/>
    </w:p>
    <w:p>
      <w:pPr>
        <w:pStyle w:val="5"/>
        <w:rPr>
          <w:rFonts w:cs="Times New Roman"/>
          <w:sz w:val="30"/>
          <w:szCs w:val="30"/>
        </w:rPr>
      </w:pPr>
      <w:r>
        <w:rPr>
          <w:rFonts w:cs="Times New Roman"/>
          <w:sz w:val="30"/>
          <w:szCs w:val="30"/>
        </w:rPr>
        <w:t>4.2.1规范化排污口、监测设施及在线监测装置</w:t>
      </w:r>
    </w:p>
    <w:p>
      <w:pPr>
        <w:spacing w:line="360" w:lineRule="auto"/>
        <w:ind w:firstLine="480" w:firstLineChars="200"/>
        <w:jc w:val="left"/>
        <w:rPr>
          <w:rFonts w:ascii="Times New Roman" w:hAnsi="Times New Roman" w:cs="Times New Roman"/>
        </w:rPr>
      </w:pPr>
      <w:r>
        <w:rPr>
          <w:rFonts w:hint="eastAsia" w:ascii="Times New Roman" w:hAnsi="Times New Roman" w:cs="Times New Roman"/>
        </w:rPr>
        <w:t>企业不涉及废气有组织及废水排放，厂区已按环评及其批复要求建设了环保设施，不涉及在线监测。</w:t>
      </w:r>
    </w:p>
    <w:p>
      <w:pPr>
        <w:pStyle w:val="5"/>
        <w:rPr>
          <w:rFonts w:cs="Times New Roman"/>
          <w:sz w:val="30"/>
          <w:szCs w:val="30"/>
        </w:rPr>
      </w:pPr>
      <w:r>
        <w:rPr>
          <w:rFonts w:cs="Times New Roman"/>
          <w:sz w:val="30"/>
          <w:szCs w:val="30"/>
        </w:rPr>
        <w:t>4.2.2 环境管理</w:t>
      </w:r>
    </w:p>
    <w:p>
      <w:pPr>
        <w:spacing w:line="360" w:lineRule="auto"/>
        <w:ind w:firstLine="480" w:firstLineChars="200"/>
        <w:jc w:val="left"/>
        <w:rPr>
          <w:rFonts w:ascii="Times New Roman" w:hAnsi="Times New Roman" w:cs="Times New Roman"/>
        </w:rPr>
      </w:pPr>
      <w:r>
        <w:rPr>
          <w:rFonts w:hint="eastAsia" w:ascii="Times New Roman" w:hAnsi="Times New Roman" w:cs="Times New Roman"/>
        </w:rPr>
        <w:t>企业</w:t>
      </w:r>
      <w:r>
        <w:rPr>
          <w:rFonts w:ascii="Times New Roman" w:hAnsi="Times New Roman" w:cs="Times New Roman"/>
        </w:rPr>
        <w:t>配备</w:t>
      </w:r>
      <w:r>
        <w:rPr>
          <w:rFonts w:hint="eastAsia" w:ascii="Times New Roman" w:hAnsi="Times New Roman" w:cs="Times New Roman"/>
        </w:rPr>
        <w:t>了兼职</w:t>
      </w:r>
      <w:r>
        <w:rPr>
          <w:rFonts w:ascii="Times New Roman" w:hAnsi="Times New Roman" w:cs="Times New Roman"/>
        </w:rPr>
        <w:t>环保人员1人，编制了《废水处理技术规程》</w:t>
      </w:r>
      <w:r>
        <w:rPr>
          <w:rFonts w:hint="eastAsia" w:ascii="Times New Roman" w:hAnsi="Times New Roman" w:cs="Times New Roman"/>
        </w:rPr>
        <w:t>、</w:t>
      </w:r>
      <w:r>
        <w:rPr>
          <w:rFonts w:ascii="Times New Roman" w:hAnsi="Times New Roman" w:cs="Times New Roman"/>
        </w:rPr>
        <w:t>《危险废弃物处置与贮存规范》等环保管理制度，厂区设置了环境信息公示栏。</w:t>
      </w:r>
    </w:p>
    <w:p>
      <w:pPr>
        <w:pStyle w:val="3"/>
        <w:rPr>
          <w:rFonts w:cs="Times New Roman"/>
          <w:szCs w:val="28"/>
        </w:rPr>
      </w:pPr>
      <w:bookmarkStart w:id="93" w:name="_Toc497926007"/>
      <w:bookmarkStart w:id="94" w:name="_Toc1780"/>
      <w:bookmarkStart w:id="95" w:name="_Toc31887"/>
      <w:bookmarkStart w:id="96" w:name="_Toc497987615"/>
      <w:bookmarkStart w:id="97" w:name="_Toc102039299"/>
      <w:bookmarkStart w:id="98" w:name="_Toc497987777"/>
      <w:bookmarkStart w:id="99" w:name="_Toc497988058"/>
      <w:r>
        <w:rPr>
          <w:rFonts w:cs="Times New Roman"/>
          <w:szCs w:val="28"/>
        </w:rPr>
        <w:t>4.3环保设施投资及“三同时”落实情况</w:t>
      </w:r>
      <w:bookmarkEnd w:id="93"/>
      <w:bookmarkEnd w:id="94"/>
      <w:bookmarkEnd w:id="95"/>
      <w:bookmarkEnd w:id="96"/>
      <w:bookmarkEnd w:id="97"/>
      <w:bookmarkEnd w:id="98"/>
      <w:bookmarkEnd w:id="99"/>
    </w:p>
    <w:p>
      <w:pPr>
        <w:pStyle w:val="5"/>
        <w:rPr>
          <w:rFonts w:cs="Times New Roman"/>
          <w:sz w:val="30"/>
          <w:szCs w:val="30"/>
        </w:rPr>
      </w:pPr>
      <w:r>
        <w:rPr>
          <w:rFonts w:cs="Times New Roman"/>
          <w:sz w:val="30"/>
          <w:szCs w:val="30"/>
        </w:rPr>
        <w:t>4.3.1环保设施投资</w:t>
      </w:r>
    </w:p>
    <w:p>
      <w:pPr>
        <w:jc w:val="center"/>
        <w:rPr>
          <w:rFonts w:ascii="Times New Roman" w:hAnsi="Times New Roman" w:cs="Times New Roman"/>
          <w:b/>
        </w:rPr>
      </w:pPr>
      <w:r>
        <w:rPr>
          <w:rFonts w:ascii="Times New Roman" w:hAnsi="Times New Roman" w:cs="Times New Roman"/>
          <w:b/>
        </w:rPr>
        <w:br w:type="page"/>
      </w:r>
    </w:p>
    <w:p>
      <w:pPr>
        <w:jc w:val="center"/>
        <w:rPr>
          <w:rFonts w:ascii="Times New Roman" w:hAnsi="Times New Roman" w:cs="Times New Roman"/>
          <w:b/>
        </w:rPr>
      </w:pPr>
      <w:r>
        <w:rPr>
          <w:rFonts w:ascii="Times New Roman" w:hAnsi="Times New Roman" w:cs="Times New Roman"/>
          <w:b/>
        </w:rPr>
        <w:t>表4.3-1  环保设施投资一览表</w:t>
      </w:r>
    </w:p>
    <w:tbl>
      <w:tblPr>
        <w:tblStyle w:val="47"/>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6"/>
        <w:gridCol w:w="4648"/>
        <w:gridCol w:w="992"/>
        <w:gridCol w:w="850"/>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环境要素</w:t>
            </w: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治理</w:t>
            </w:r>
          </w:p>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w:t>
            </w:r>
          </w:p>
        </w:tc>
        <w:tc>
          <w:tcPr>
            <w:tcW w:w="4648"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环评阶段治理措施</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实际情况</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投资估算（万元）</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82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大气</w:t>
            </w: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猪舍恶臭</w:t>
            </w:r>
          </w:p>
        </w:tc>
        <w:tc>
          <w:tcPr>
            <w:tcW w:w="4648" w:type="dxa"/>
            <w:vAlign w:val="center"/>
          </w:tcPr>
          <w:p>
            <w:pPr>
              <w:adjustRightInd w:val="0"/>
              <w:snapToGrid w:val="0"/>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在猪舍风机出风处设置喷雾式水帘除臭；科学设计饲料，提高饲料利用率；及时清理猪粪，猪舍撒放有效生物菌剂；强化猪舍消毒措施；加强通风、通过绿化及围墙的阻隔，喷洒微生物除臭剂</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食堂油烟</w:t>
            </w:r>
          </w:p>
        </w:tc>
        <w:tc>
          <w:tcPr>
            <w:tcW w:w="4648" w:type="dxa"/>
            <w:vAlign w:val="center"/>
          </w:tcPr>
          <w:p>
            <w:pPr>
              <w:adjustRightInd w:val="0"/>
              <w:snapToGrid w:val="0"/>
              <w:spacing w:line="220" w:lineRule="exact"/>
              <w:jc w:val="left"/>
              <w:rPr>
                <w:rFonts w:ascii="Times New Roman" w:hAnsi="Times New Roman" w:eastAsia="宋体" w:cs="Times New Roman"/>
                <w:snapToGrid w:val="0"/>
                <w:kern w:val="0"/>
                <w:sz w:val="21"/>
                <w:szCs w:val="21"/>
              </w:rPr>
            </w:pPr>
            <w:r>
              <w:rPr>
                <w:rFonts w:ascii="Times New Roman" w:hAnsi="Times New Roman" w:eastAsia="宋体" w:cs="Times New Roman"/>
                <w:kern w:val="0"/>
                <w:sz w:val="21"/>
                <w:szCs w:val="21"/>
              </w:rPr>
              <w:t>经油烟净化器净化后排放</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食堂未建设</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污水处理站</w:t>
            </w:r>
          </w:p>
        </w:tc>
        <w:tc>
          <w:tcPr>
            <w:tcW w:w="4648" w:type="dxa"/>
            <w:vAlign w:val="center"/>
          </w:tcPr>
          <w:p>
            <w:pPr>
              <w:adjustRightInd w:val="0"/>
              <w:snapToGrid w:val="0"/>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各处理单元密封、加盖，人工喷洒生物除臭剂1~2次/天</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猪粪暂存池</w:t>
            </w:r>
          </w:p>
        </w:tc>
        <w:tc>
          <w:tcPr>
            <w:tcW w:w="4648" w:type="dxa"/>
            <w:vAlign w:val="center"/>
          </w:tcPr>
          <w:p>
            <w:pPr>
              <w:adjustRightInd w:val="0"/>
              <w:snapToGrid w:val="0"/>
              <w:spacing w:line="220" w:lineRule="exact"/>
              <w:jc w:val="left"/>
              <w:rPr>
                <w:rFonts w:ascii="Times New Roman" w:hAnsi="Times New Roman" w:eastAsia="宋体" w:cs="Times New Roman"/>
                <w:snapToGrid w:val="0"/>
                <w:kern w:val="0"/>
                <w:sz w:val="21"/>
                <w:szCs w:val="21"/>
              </w:rPr>
            </w:pPr>
            <w:r>
              <w:rPr>
                <w:rFonts w:ascii="Times New Roman" w:hAnsi="Times New Roman" w:eastAsia="宋体" w:cs="Times New Roman"/>
                <w:snapToGrid w:val="0"/>
                <w:kern w:val="0"/>
                <w:sz w:val="21"/>
                <w:szCs w:val="21"/>
              </w:rPr>
              <w:t>采用混凝土结构，防渗漏结构，四周修建围挡，顶部设置遮雨棚，四周地面硬化，周边设置雨水排水沟渠</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21.4</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柴油发电机</w:t>
            </w:r>
          </w:p>
        </w:tc>
        <w:tc>
          <w:tcPr>
            <w:tcW w:w="4648" w:type="dxa"/>
            <w:vAlign w:val="center"/>
          </w:tcPr>
          <w:p>
            <w:pPr>
              <w:adjustRightInd w:val="0"/>
              <w:snapToGrid w:val="0"/>
              <w:spacing w:line="220" w:lineRule="exact"/>
              <w:jc w:val="left"/>
              <w:rPr>
                <w:rFonts w:ascii="Times New Roman" w:hAnsi="Times New Roman" w:eastAsia="宋体" w:cs="Times New Roman"/>
                <w:snapToGrid w:val="0"/>
                <w:kern w:val="0"/>
                <w:sz w:val="21"/>
                <w:szCs w:val="21"/>
              </w:rPr>
            </w:pPr>
            <w:r>
              <w:rPr>
                <w:rFonts w:ascii="Times New Roman" w:hAnsi="Times New Roman" w:eastAsia="宋体" w:cs="Times New Roman"/>
                <w:snapToGrid w:val="0"/>
                <w:kern w:val="0"/>
                <w:sz w:val="21"/>
                <w:szCs w:val="21"/>
              </w:rPr>
              <w:t>通过排气筒引至站房屋顶排放</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0.2</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2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地表水</w:t>
            </w: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养殖废水</w:t>
            </w:r>
          </w:p>
        </w:tc>
        <w:tc>
          <w:tcPr>
            <w:tcW w:w="4648" w:type="dxa"/>
            <w:vMerge w:val="restart"/>
            <w:vAlign w:val="center"/>
          </w:tcPr>
          <w:p>
            <w:pPr>
              <w:adjustRightInd w:val="0"/>
              <w:snapToGrid w:val="0"/>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食堂废水通过隔油池预处理后与其他生活污水一并进入废水处理站。养殖废水与生活污水一并经废水处理站进行后沼液还田，污水处理站采用“固液分离+调节池+厌氧池”处理工艺</w:t>
            </w:r>
          </w:p>
        </w:tc>
        <w:tc>
          <w:tcPr>
            <w:tcW w:w="992"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w:t>
            </w:r>
          </w:p>
        </w:tc>
        <w:tc>
          <w:tcPr>
            <w:tcW w:w="48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生活污水</w:t>
            </w:r>
          </w:p>
        </w:tc>
        <w:tc>
          <w:tcPr>
            <w:tcW w:w="4648"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992"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85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48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噪声</w:t>
            </w:r>
          </w:p>
        </w:tc>
        <w:tc>
          <w:tcPr>
            <w:tcW w:w="1586" w:type="dxa"/>
            <w:vAlign w:val="center"/>
          </w:tcPr>
          <w:p>
            <w:pPr>
              <w:widowControl/>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猪叫声</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播放音乐、科学饲养，避免饥渴及突发性噪声</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纳入主体工程</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widowControl/>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设备噪声</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饲料仓机自动喂料线均布置在圈舍，采取减震措施，且尽量避免夜间和中午居民休息期间运行；各污水泵布置于设备房内，采取减震措施</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restart"/>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固废</w:t>
            </w: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猪粪、沼渣</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设置容积为200m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的猪粪暂存池，猪粪、沼渣及粪渣委托给重庆合川区旭樾飞生物科技有限公司处理，用于制作有机肥</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病死猪及分娩废物</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sz w:val="21"/>
                <w:szCs w:val="21"/>
              </w:rPr>
              <w:t>设置2口填埋井，总容积300m³，为混凝土结构</w:t>
            </w:r>
            <w:r>
              <w:rPr>
                <w:rFonts w:ascii="Times New Roman" w:hAnsi="Times New Roman" w:eastAsia="宋体" w:cs="Times New Roman"/>
                <w:kern w:val="0"/>
                <w:sz w:val="21"/>
                <w:szCs w:val="21"/>
              </w:rPr>
              <w:t xml:space="preserve"> </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widowControl/>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废弃脱硫剂</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交由生产厂家回收再利用</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0.2</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widowControl/>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医疗废物</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集中收集后交由有相应处理资质的单位处置</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0.50</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1586" w:type="dxa"/>
            <w:vAlign w:val="center"/>
          </w:tcPr>
          <w:p>
            <w:pPr>
              <w:widowControl/>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生活垃圾</w:t>
            </w:r>
          </w:p>
        </w:tc>
        <w:tc>
          <w:tcPr>
            <w:tcW w:w="4648" w:type="dxa"/>
            <w:vAlign w:val="center"/>
          </w:tcPr>
          <w:p>
            <w:pPr>
              <w:widowControl/>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设生活垃圾临时收集设施，收集后由乡镇环卫收集处理。</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6" w:type="dxa"/>
            <w:gridSpan w:val="2"/>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地下水、土壤污染防治措施</w:t>
            </w:r>
          </w:p>
        </w:tc>
        <w:tc>
          <w:tcPr>
            <w:tcW w:w="4648" w:type="dxa"/>
            <w:vAlign w:val="center"/>
          </w:tcPr>
          <w:p>
            <w:pPr>
              <w:adjustRightInd w:val="0"/>
              <w:snapToGrid w:val="0"/>
              <w:spacing w:line="220" w:lineRule="exact"/>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猪舍、废水收集管沟、废水处理站各池体、危废暂存间等进行分区防渗处理。</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restart"/>
            <w:vAlign w:val="center"/>
          </w:tcPr>
          <w:p>
            <w:pPr>
              <w:adjustRightInd w:val="0"/>
              <w:snapToGrid w:val="0"/>
              <w:spacing w:line="220" w:lineRule="exact"/>
              <w:contextualSpacing/>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风险防范</w:t>
            </w:r>
          </w:p>
        </w:tc>
        <w:tc>
          <w:tcPr>
            <w:tcW w:w="1586" w:type="dxa"/>
            <w:vAlign w:val="center"/>
          </w:tcPr>
          <w:p>
            <w:pPr>
              <w:adjustRightInd w:val="0"/>
              <w:snapToGrid w:val="0"/>
              <w:spacing w:line="220" w:lineRule="exact"/>
              <w:contextualSpacing/>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柴油储存区</w:t>
            </w:r>
          </w:p>
        </w:tc>
        <w:tc>
          <w:tcPr>
            <w:tcW w:w="4648" w:type="dxa"/>
            <w:vAlign w:val="center"/>
          </w:tcPr>
          <w:p>
            <w:pPr>
              <w:adjustRightInd w:val="0"/>
              <w:snapToGrid w:val="0"/>
              <w:spacing w:line="220" w:lineRule="exact"/>
              <w:contextualSpacing/>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柴油最大暂存量为500L，采用防渗托盘，将油桶至于托盘内，收集泄漏柴油。在储存位置设置警示标识，禁止有明火现象发生，同时对柴油进行规范性管理。</w:t>
            </w:r>
          </w:p>
        </w:tc>
        <w:tc>
          <w:tcPr>
            <w:tcW w:w="992"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0.1</w:t>
            </w:r>
          </w:p>
        </w:tc>
        <w:tc>
          <w:tcPr>
            <w:tcW w:w="480" w:type="dxa"/>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dxa"/>
            <w:vMerge w:val="continue"/>
            <w:tcBorders>
              <w:bottom w:val="single" w:color="auto" w:sz="4" w:space="0"/>
            </w:tcBorders>
            <w:vAlign w:val="center"/>
          </w:tcPr>
          <w:p>
            <w:pPr>
              <w:adjustRightInd w:val="0"/>
              <w:snapToGrid w:val="0"/>
              <w:spacing w:line="220" w:lineRule="exact"/>
              <w:contextualSpacing/>
              <w:jc w:val="left"/>
              <w:rPr>
                <w:rFonts w:ascii="Times New Roman" w:hAnsi="Times New Roman" w:eastAsia="宋体" w:cs="Times New Roman"/>
                <w:kern w:val="0"/>
                <w:sz w:val="21"/>
                <w:szCs w:val="21"/>
              </w:rPr>
            </w:pPr>
          </w:p>
        </w:tc>
        <w:tc>
          <w:tcPr>
            <w:tcW w:w="1586" w:type="dxa"/>
            <w:tcBorders>
              <w:bottom w:val="single" w:color="auto" w:sz="4" w:space="0"/>
            </w:tcBorders>
            <w:vAlign w:val="center"/>
          </w:tcPr>
          <w:p>
            <w:pPr>
              <w:adjustRightInd w:val="0"/>
              <w:snapToGrid w:val="0"/>
              <w:spacing w:line="220" w:lineRule="exact"/>
              <w:contextualSpacing/>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事故风险</w:t>
            </w:r>
          </w:p>
        </w:tc>
        <w:tc>
          <w:tcPr>
            <w:tcW w:w="4648" w:type="dxa"/>
            <w:tcBorders>
              <w:bottom w:val="single" w:color="auto" w:sz="4" w:space="0"/>
            </w:tcBorders>
            <w:vAlign w:val="center"/>
          </w:tcPr>
          <w:p>
            <w:pPr>
              <w:adjustRightInd w:val="0"/>
              <w:snapToGrid w:val="0"/>
              <w:spacing w:line="220" w:lineRule="exact"/>
              <w:contextualSpacing/>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设1座总容积1000m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的事故池，用于事故状态下的废水处理站废水暂存。</w:t>
            </w:r>
          </w:p>
        </w:tc>
        <w:tc>
          <w:tcPr>
            <w:tcW w:w="992"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与环评一致</w:t>
            </w:r>
          </w:p>
        </w:tc>
        <w:tc>
          <w:tcPr>
            <w:tcW w:w="850"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20.8</w:t>
            </w:r>
          </w:p>
        </w:tc>
        <w:tc>
          <w:tcPr>
            <w:tcW w:w="480"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6" w:type="dxa"/>
            <w:gridSpan w:val="2"/>
            <w:tcBorders>
              <w:bottom w:val="single" w:color="auto" w:sz="4" w:space="0"/>
            </w:tcBorders>
            <w:vAlign w:val="center"/>
          </w:tcPr>
          <w:p>
            <w:pPr>
              <w:adjustRightInd w:val="0"/>
              <w:snapToGrid w:val="0"/>
              <w:spacing w:line="220" w:lineRule="exact"/>
              <w:ind w:firstLine="680"/>
              <w:contextualSpacing/>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合计</w:t>
            </w:r>
          </w:p>
        </w:tc>
        <w:tc>
          <w:tcPr>
            <w:tcW w:w="4648" w:type="dxa"/>
            <w:tcBorders>
              <w:bottom w:val="single" w:color="auto" w:sz="4" w:space="0"/>
            </w:tcBorders>
            <w:vAlign w:val="center"/>
          </w:tcPr>
          <w:p>
            <w:pPr>
              <w:adjustRightInd w:val="0"/>
              <w:snapToGrid w:val="0"/>
              <w:spacing w:line="220" w:lineRule="exact"/>
              <w:ind w:firstLine="680"/>
              <w:contextualSpacing/>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992"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p>
        </w:tc>
        <w:tc>
          <w:tcPr>
            <w:tcW w:w="850"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169.8</w:t>
            </w:r>
          </w:p>
        </w:tc>
        <w:tc>
          <w:tcPr>
            <w:tcW w:w="480" w:type="dxa"/>
            <w:tcBorders>
              <w:bottom w:val="single" w:color="auto" w:sz="4" w:space="0"/>
            </w:tcBorders>
            <w:vAlign w:val="center"/>
          </w:tcPr>
          <w:p>
            <w:pPr>
              <w:adjustRightInd w:val="0"/>
              <w:snapToGrid w:val="0"/>
              <w:spacing w:line="220" w:lineRule="exact"/>
              <w:jc w:val="center"/>
              <w:rPr>
                <w:rFonts w:ascii="Times New Roman" w:hAnsi="Times New Roman" w:eastAsia="宋体" w:cs="Times New Roman"/>
                <w:kern w:val="0"/>
                <w:sz w:val="21"/>
                <w:szCs w:val="21"/>
              </w:rPr>
            </w:pPr>
          </w:p>
        </w:tc>
      </w:tr>
    </w:tbl>
    <w:p>
      <w:pPr>
        <w:pStyle w:val="5"/>
        <w:rPr>
          <w:rFonts w:cs="Times New Roman"/>
          <w:sz w:val="30"/>
          <w:szCs w:val="30"/>
        </w:rPr>
      </w:pPr>
      <w:r>
        <w:rPr>
          <w:rFonts w:cs="Times New Roman"/>
          <w:sz w:val="30"/>
          <w:szCs w:val="30"/>
        </w:rPr>
        <w:t>4.3.2环保措施落实情况</w:t>
      </w:r>
    </w:p>
    <w:p>
      <w:pPr>
        <w:spacing w:line="360" w:lineRule="auto"/>
        <w:ind w:firstLine="480" w:firstLineChars="200"/>
        <w:rPr>
          <w:rFonts w:ascii="Times New Roman" w:hAnsi="Times New Roman" w:eastAsia="宋体" w:cs="Times New Roman"/>
          <w:b/>
          <w:sz w:val="21"/>
          <w:szCs w:val="21"/>
        </w:rPr>
      </w:pPr>
      <w:r>
        <w:rPr>
          <w:rFonts w:ascii="Times New Roman" w:hAnsi="Times New Roman" w:eastAsia="宋体" w:cs="Times New Roman"/>
        </w:rPr>
        <w:t>根据现场踏勘，结合验收项目环评及环评批复，验收项目环境保护设施、措施落实及变更情况详见表4.3-2。</w:t>
      </w:r>
    </w:p>
    <w:p>
      <w:pPr>
        <w:spacing w:line="360" w:lineRule="auto"/>
        <w:ind w:firstLine="482" w:firstLineChars="200"/>
        <w:jc w:val="center"/>
        <w:rPr>
          <w:rFonts w:ascii="Times New Roman" w:hAnsi="Times New Roman" w:eastAsia="宋体" w:cs="Times New Roman"/>
          <w:b/>
        </w:rPr>
      </w:pPr>
    </w:p>
    <w:p>
      <w:pPr>
        <w:spacing w:line="360" w:lineRule="auto"/>
        <w:ind w:firstLine="482" w:firstLineChars="200"/>
        <w:jc w:val="center"/>
        <w:rPr>
          <w:rFonts w:ascii="Times New Roman" w:hAnsi="Times New Roman" w:eastAsia="宋体" w:cs="Times New Roman"/>
          <w:b/>
        </w:rPr>
      </w:pPr>
      <w:r>
        <w:rPr>
          <w:rFonts w:ascii="Times New Roman" w:hAnsi="Times New Roman" w:eastAsia="宋体" w:cs="Times New Roman"/>
          <w:b/>
        </w:rPr>
        <w:t>表4.3-2 验收项目环保措施落实情况一览表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87"/>
        <w:gridCol w:w="2540"/>
        <w:gridCol w:w="3089"/>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34" w:type="dxa"/>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项目</w:t>
            </w:r>
          </w:p>
        </w:tc>
        <w:tc>
          <w:tcPr>
            <w:tcW w:w="3827" w:type="dxa"/>
            <w:gridSpan w:val="2"/>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环评及批复要求</w:t>
            </w:r>
          </w:p>
        </w:tc>
        <w:tc>
          <w:tcPr>
            <w:tcW w:w="3089" w:type="dxa"/>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实际建设情况</w:t>
            </w:r>
          </w:p>
        </w:tc>
        <w:tc>
          <w:tcPr>
            <w:tcW w:w="1078" w:type="dxa"/>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废气</w:t>
            </w:r>
          </w:p>
        </w:tc>
        <w:tc>
          <w:tcPr>
            <w:tcW w:w="1287"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猪舍、粪污处理</w:t>
            </w:r>
          </w:p>
        </w:tc>
        <w:tc>
          <w:tcPr>
            <w:tcW w:w="2540" w:type="dxa"/>
            <w:vAlign w:val="center"/>
          </w:tcPr>
          <w:p>
            <w:pPr>
              <w:adjustRightInd w:val="0"/>
              <w:snapToGrid w:val="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猪舍内及污水处理站周围施用除臭剂；猪粪内的猪粪日产日清，及时清运猪粪缩短猪粪在厂区的堆存时间；在养殖区、调节池周围及各猪舍间种植树木，猪舍设置水帘除臭装置。</w:t>
            </w:r>
          </w:p>
        </w:tc>
        <w:tc>
          <w:tcPr>
            <w:tcW w:w="3089" w:type="dxa"/>
            <w:vAlign w:val="center"/>
          </w:tcPr>
          <w:p>
            <w:pPr>
              <w:rPr>
                <w:rFonts w:ascii="Times New Roman" w:hAnsi="Times New Roman" w:eastAsia="宋体" w:cs="Times New Roman"/>
                <w:sz w:val="21"/>
                <w:szCs w:val="21"/>
              </w:rPr>
            </w:pPr>
            <w:r>
              <w:rPr>
                <w:rFonts w:hint="eastAsia" w:ascii="Times New Roman" w:hAnsi="Times New Roman" w:eastAsia="宋体" w:cs="Times New Roman"/>
                <w:bCs/>
                <w:kern w:val="0"/>
                <w:sz w:val="21"/>
                <w:szCs w:val="21"/>
              </w:rPr>
              <w:t>猪舍内及污水处理站周围施用除臭剂；猪粪内的猪粪日产日清，及时清运猪粪缩短猪粪在厂区的堆存时间；在养殖区、调节池周围及各猪舍间种植树木，猪舍设置水帘除臭装置。</w:t>
            </w:r>
          </w:p>
        </w:tc>
        <w:tc>
          <w:tcPr>
            <w:tcW w:w="107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hint="eastAsia" w:ascii="Times New Roman" w:hAnsi="Times New Roman" w:eastAsia="宋体" w:cs="Times New Roman"/>
                <w:sz w:val="21"/>
                <w:szCs w:val="21"/>
              </w:rPr>
            </w:pPr>
          </w:p>
        </w:tc>
        <w:tc>
          <w:tcPr>
            <w:tcW w:w="1287"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食堂</w:t>
            </w:r>
          </w:p>
        </w:tc>
        <w:tc>
          <w:tcPr>
            <w:tcW w:w="2540"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专用烟道，采用油烟净化器处理达标后引至食堂楼顶排放</w:t>
            </w:r>
          </w:p>
        </w:tc>
        <w:tc>
          <w:tcPr>
            <w:tcW w:w="3089" w:type="dxa"/>
            <w:vAlign w:val="center"/>
          </w:tcPr>
          <w:p>
            <w:pP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食堂取消建设，工作人员用餐依托周边农户</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hint="eastAsia" w:ascii="Times New Roman" w:hAnsi="Times New Roman" w:eastAsia="宋体" w:cs="Times New Roman"/>
                <w:sz w:val="21"/>
                <w:szCs w:val="21"/>
              </w:rPr>
            </w:pPr>
          </w:p>
        </w:tc>
        <w:tc>
          <w:tcPr>
            <w:tcW w:w="1287"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柴油发电机</w:t>
            </w:r>
          </w:p>
        </w:tc>
        <w:tc>
          <w:tcPr>
            <w:tcW w:w="2540"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备用柴油发电机废气通过专用排气筒引至楼顶排放</w:t>
            </w:r>
          </w:p>
        </w:tc>
        <w:tc>
          <w:tcPr>
            <w:tcW w:w="3089" w:type="dxa"/>
            <w:vAlign w:val="center"/>
          </w:tcPr>
          <w:p>
            <w:pP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备用柴油发电机废气通过专用排气筒引至楼顶排放</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hint="eastAsia" w:ascii="Times New Roman" w:hAnsi="Times New Roman" w:eastAsia="宋体" w:cs="Times New Roman"/>
                <w:sz w:val="21"/>
                <w:szCs w:val="21"/>
              </w:rPr>
            </w:pPr>
          </w:p>
        </w:tc>
        <w:tc>
          <w:tcPr>
            <w:tcW w:w="1287"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养殖场</w:t>
            </w:r>
          </w:p>
        </w:tc>
        <w:tc>
          <w:tcPr>
            <w:tcW w:w="2540" w:type="dxa"/>
            <w:vAlign w:val="center"/>
          </w:tcPr>
          <w:p>
            <w:pPr>
              <w:adjustRightInd w:val="0"/>
              <w:snapToGrid w:val="0"/>
              <w:jc w:val="cente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以猪舍、粪污区为起点外扩200m范围设置为环境防护距离，涉及居民拟实施功能置换；且场界外500m范围内禁止规划新建学校、医院、集中居民区等环境敏感点。</w:t>
            </w:r>
          </w:p>
        </w:tc>
        <w:tc>
          <w:tcPr>
            <w:tcW w:w="3089" w:type="dxa"/>
            <w:vAlign w:val="center"/>
          </w:tcPr>
          <w:p>
            <w:pPr>
              <w:rPr>
                <w:rFonts w:hint="eastAsia"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以猪舍、粪污区为起点外扩200m范围设置的环境防护距离，涉及居民已实施功能置换；经调查，场界外500m范围未规划学校、医院、集中居民区等环境敏感点。</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7" w:hRule="atLeast"/>
          <w:jc w:val="center"/>
        </w:trPr>
        <w:tc>
          <w:tcPr>
            <w:tcW w:w="534"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废水</w:t>
            </w:r>
          </w:p>
        </w:tc>
        <w:tc>
          <w:tcPr>
            <w:tcW w:w="1287" w:type="dxa"/>
            <w:vAlign w:val="center"/>
          </w:tcPr>
          <w:p>
            <w:pPr>
              <w:adjustRightInd w:val="0"/>
              <w:snapToGrid w:val="0"/>
              <w:spacing w:line="261" w:lineRule="exact"/>
              <w:rPr>
                <w:rFonts w:ascii="Times New Roman" w:hAnsi="Times New Roman" w:eastAsia="宋体" w:cs="Times New Roman"/>
                <w:sz w:val="21"/>
                <w:szCs w:val="21"/>
              </w:rPr>
            </w:pPr>
            <w:r>
              <w:rPr>
                <w:rFonts w:ascii="Times New Roman" w:hAnsi="Times New Roman" w:eastAsia="宋体" w:cs="Times New Roman"/>
                <w:sz w:val="21"/>
                <w:szCs w:val="21"/>
              </w:rPr>
              <w:t>养殖废水、生活污水</w:t>
            </w:r>
          </w:p>
        </w:tc>
        <w:tc>
          <w:tcPr>
            <w:tcW w:w="2540" w:type="dxa"/>
            <w:vAlign w:val="center"/>
          </w:tcPr>
          <w:p>
            <w:pPr>
              <w:tabs>
                <w:tab w:val="left" w:pos="703"/>
              </w:tabs>
              <w:adjustRightInd w:val="0"/>
              <w:snapToGrid w:val="0"/>
              <w:spacing w:line="261" w:lineRule="exact"/>
              <w:jc w:val="left"/>
              <w:rPr>
                <w:rFonts w:ascii="Times New Roman" w:hAnsi="Times New Roman" w:eastAsia="宋体" w:cs="Times New Roman"/>
                <w:bCs/>
                <w:kern w:val="0"/>
                <w:sz w:val="21"/>
                <w:szCs w:val="21"/>
              </w:rPr>
            </w:pPr>
            <w:r>
              <w:rPr>
                <w:rFonts w:ascii="Times New Roman" w:hAnsi="Times New Roman" w:eastAsia="宋体" w:cs="Times New Roman"/>
                <w:kern w:val="0"/>
                <w:sz w:val="21"/>
                <w:szCs w:val="21"/>
              </w:rPr>
              <w:t>建设污水处理站1座，处理工艺为“固液分离+调节池+厌氧池”，设计处理规模为40m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/d；沼液进入沼液存储池存储，场内设置一个沼液池容积为7500m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，场外两个高位沼液池，均为500m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，配套还田管网，沼液输送干管直径为DN75，支管直径为DN40，总长度约10km。沼气系统配备气水分离器、脱硫塔、贮气柜、放空火炬，储气袋容积80m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w:t>
            </w:r>
            <w:r>
              <w:rPr>
                <w:rFonts w:ascii="Times New Roman" w:hAnsi="Times New Roman" w:eastAsia="宋体" w:cs="Times New Roman"/>
                <w:kern w:val="0"/>
                <w:sz w:val="22"/>
                <w:szCs w:val="22"/>
              </w:rPr>
              <w:t>废水处理后沼液还田区域为4010亩农田，</w:t>
            </w:r>
            <w:r>
              <w:rPr>
                <w:rFonts w:ascii="Times New Roman" w:hAnsi="Times New Roman" w:eastAsia="宋体" w:cs="Times New Roman"/>
                <w:bCs/>
                <w:kern w:val="0"/>
                <w:sz w:val="22"/>
                <w:szCs w:val="22"/>
              </w:rPr>
              <w:t>保证废水合理还田利用。</w:t>
            </w:r>
          </w:p>
        </w:tc>
        <w:tc>
          <w:tcPr>
            <w:tcW w:w="3089" w:type="dxa"/>
            <w:vAlign w:val="center"/>
          </w:tcPr>
          <w:p>
            <w:pPr>
              <w:rPr>
                <w:rFonts w:ascii="Times New Roman" w:hAnsi="Times New Roman" w:eastAsia="宋体" w:cs="Times New Roman"/>
                <w:bCs/>
                <w:kern w:val="0"/>
                <w:sz w:val="21"/>
                <w:szCs w:val="21"/>
              </w:rPr>
            </w:pPr>
            <w:r>
              <w:rPr>
                <w:rFonts w:ascii="Times New Roman" w:hAnsi="Times New Roman" w:cs="Times New Roman"/>
                <w:sz w:val="21"/>
                <w:szCs w:val="21"/>
              </w:rPr>
              <w:t>已建设污水处理站1座，处理工艺为“固液分离+调节池+厌氧池”，设计处理规模为40m</w:t>
            </w:r>
            <w:r>
              <w:rPr>
                <w:rFonts w:ascii="Times New Roman" w:hAnsi="Times New Roman" w:cs="Times New Roman"/>
                <w:sz w:val="21"/>
                <w:szCs w:val="21"/>
                <w:vertAlign w:val="superscript"/>
              </w:rPr>
              <w:t>3</w:t>
            </w:r>
            <w:r>
              <w:rPr>
                <w:rFonts w:ascii="Times New Roman" w:hAnsi="Times New Roman" w:cs="Times New Roman"/>
                <w:sz w:val="21"/>
                <w:szCs w:val="21"/>
              </w:rPr>
              <w:t>/d；沼液进入沼液存储池存储，场内设置一个沼液池容积为7500m</w:t>
            </w:r>
            <w:r>
              <w:rPr>
                <w:rFonts w:ascii="Times New Roman" w:hAnsi="Times New Roman" w:cs="Times New Roman"/>
                <w:sz w:val="21"/>
                <w:szCs w:val="21"/>
                <w:vertAlign w:val="superscript"/>
              </w:rPr>
              <w:t>3</w:t>
            </w:r>
            <w:r>
              <w:rPr>
                <w:rFonts w:ascii="Times New Roman" w:hAnsi="Times New Roman" w:cs="Times New Roman"/>
                <w:sz w:val="21"/>
                <w:szCs w:val="21"/>
              </w:rPr>
              <w:t>，场外两个高位沼液池，均为500m</w:t>
            </w:r>
            <w:r>
              <w:rPr>
                <w:rFonts w:ascii="Times New Roman" w:hAnsi="Times New Roman" w:cs="Times New Roman"/>
                <w:sz w:val="21"/>
                <w:szCs w:val="21"/>
                <w:vertAlign w:val="superscript"/>
              </w:rPr>
              <w:t>3</w:t>
            </w:r>
            <w:r>
              <w:rPr>
                <w:rFonts w:ascii="Times New Roman" w:hAnsi="Times New Roman" w:cs="Times New Roman"/>
                <w:sz w:val="21"/>
                <w:szCs w:val="21"/>
              </w:rPr>
              <w:t>，配套还田管网，沼液输送干管直径为DN75，支管直径为DN40，总长度约10km。沼气系统配备气水分离器、脱硫塔、贮气柜、放空火炬，储气袋容积80m</w:t>
            </w:r>
            <w:r>
              <w:rPr>
                <w:rFonts w:ascii="Times New Roman" w:hAnsi="Times New Roman" w:cs="Times New Roman"/>
                <w:sz w:val="21"/>
                <w:szCs w:val="21"/>
                <w:vertAlign w:val="superscript"/>
              </w:rPr>
              <w:t>3</w:t>
            </w:r>
            <w:r>
              <w:rPr>
                <w:rFonts w:ascii="Times New Roman" w:hAnsi="Times New Roman" w:cs="Times New Roman"/>
                <w:sz w:val="21"/>
                <w:szCs w:val="21"/>
              </w:rPr>
              <w:t>。</w:t>
            </w:r>
            <w:r>
              <w:rPr>
                <w:rFonts w:ascii="Times New Roman" w:hAnsi="Times New Roman" w:cs="Times New Roman"/>
                <w:sz w:val="22"/>
              </w:rPr>
              <w:t>废水处理后沼液还田区域为4010亩农田</w:t>
            </w:r>
            <w:r>
              <w:rPr>
                <w:rFonts w:ascii="Times New Roman" w:hAnsi="Times New Roman" w:cs="Times New Roman"/>
                <w:bCs/>
                <w:sz w:val="22"/>
              </w:rPr>
              <w:t>。</w:t>
            </w:r>
          </w:p>
        </w:tc>
        <w:tc>
          <w:tcPr>
            <w:tcW w:w="107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噪声</w:t>
            </w:r>
          </w:p>
        </w:tc>
        <w:tc>
          <w:tcPr>
            <w:tcW w:w="1287" w:type="dxa"/>
            <w:vAlign w:val="center"/>
          </w:tcPr>
          <w:p>
            <w:pPr>
              <w:rPr>
                <w:rFonts w:ascii="Times New Roman" w:hAnsi="Times New Roman" w:eastAsia="宋体" w:cs="Times New Roman"/>
                <w:bCs/>
                <w:sz w:val="21"/>
                <w:szCs w:val="21"/>
              </w:rPr>
            </w:pPr>
            <w:r>
              <w:rPr>
                <w:rFonts w:ascii="Times New Roman" w:hAnsi="Times New Roman" w:eastAsia="宋体" w:cs="Times New Roman"/>
                <w:bCs/>
                <w:sz w:val="21"/>
                <w:szCs w:val="21"/>
              </w:rPr>
              <w:t>设备噪声</w:t>
            </w:r>
            <w:r>
              <w:rPr>
                <w:rFonts w:hint="eastAsia" w:ascii="Times New Roman" w:hAnsi="Times New Roman" w:eastAsia="宋体" w:cs="Times New Roman"/>
                <w:bCs/>
                <w:sz w:val="21"/>
                <w:szCs w:val="21"/>
              </w:rPr>
              <w:t>、猪叫声</w:t>
            </w:r>
          </w:p>
        </w:tc>
        <w:tc>
          <w:tcPr>
            <w:tcW w:w="2540" w:type="dxa"/>
            <w:vAlign w:val="center"/>
          </w:tcPr>
          <w:p>
            <w:pPr>
              <w:rPr>
                <w:rFonts w:ascii="Times New Roman" w:hAnsi="Times New Roman" w:eastAsia="宋体" w:cs="Times New Roman"/>
                <w:bCs/>
                <w:sz w:val="21"/>
                <w:szCs w:val="21"/>
              </w:rPr>
            </w:pPr>
            <w:r>
              <w:rPr>
                <w:rFonts w:hint="eastAsia" w:ascii="Times New Roman" w:hAnsi="Times New Roman" w:eastAsia="宋体" w:cs="Times New Roman"/>
                <w:bCs/>
                <w:sz w:val="21"/>
                <w:szCs w:val="21"/>
              </w:rPr>
              <w:t>减少对猪只的惊扰，定期喂养，降低猪叫噪声；选用低噪声设备，水泵、柴油发电机布设在水泵房和发电间内，建筑隔声，设备基座减振，并加强其日常维护；加强场区周边的绿化</w:t>
            </w:r>
          </w:p>
        </w:tc>
        <w:tc>
          <w:tcPr>
            <w:tcW w:w="3089" w:type="dxa"/>
            <w:vAlign w:val="center"/>
          </w:tcPr>
          <w:p>
            <w:pPr>
              <w:rPr>
                <w:rFonts w:ascii="Times New Roman" w:hAnsi="Times New Roman" w:eastAsia="宋体" w:cs="Times New Roman"/>
                <w:sz w:val="21"/>
                <w:szCs w:val="21"/>
              </w:rPr>
            </w:pPr>
            <w:r>
              <w:rPr>
                <w:rFonts w:hint="eastAsia" w:ascii="Times New Roman" w:hAnsi="Times New Roman" w:eastAsia="宋体" w:cs="Times New Roman"/>
                <w:sz w:val="21"/>
                <w:szCs w:val="21"/>
              </w:rPr>
              <w:t>减少对猪只的惊扰，定期喂养，降低猪叫噪声；选用低噪声设备，水泵、柴油发电机布设在水泵房和发电间内，建筑隔声，设备基座减振，并加强其日常维护；加强场区周边的绿化</w:t>
            </w:r>
          </w:p>
        </w:tc>
        <w:tc>
          <w:tcPr>
            <w:tcW w:w="107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固废</w:t>
            </w:r>
          </w:p>
        </w:tc>
        <w:tc>
          <w:tcPr>
            <w:tcW w:w="1287" w:type="dxa"/>
            <w:vAlign w:val="center"/>
          </w:tcPr>
          <w:p>
            <w:pPr>
              <w:adjustRightInd w:val="0"/>
              <w:snapToGrid w:val="0"/>
              <w:spacing w:line="261" w:lineRule="exac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生活垃圾</w:t>
            </w:r>
          </w:p>
        </w:tc>
        <w:tc>
          <w:tcPr>
            <w:tcW w:w="2540" w:type="dxa"/>
            <w:vAlign w:val="center"/>
          </w:tcPr>
          <w:p>
            <w:pPr>
              <w:rPr>
                <w:rFonts w:ascii="Times New Roman" w:hAnsi="Times New Roman" w:eastAsia="宋体" w:cs="Times New Roman"/>
                <w:bCs/>
                <w:sz w:val="21"/>
                <w:szCs w:val="21"/>
              </w:rPr>
            </w:pPr>
            <w:r>
              <w:rPr>
                <w:rFonts w:ascii="Times New Roman" w:hAnsi="Times New Roman" w:eastAsia="宋体" w:cs="Times New Roman"/>
                <w:bCs/>
                <w:sz w:val="21"/>
                <w:szCs w:val="21"/>
              </w:rPr>
              <w:t>由当地环卫部门定期清运</w:t>
            </w:r>
          </w:p>
        </w:tc>
        <w:tc>
          <w:tcPr>
            <w:tcW w:w="3089" w:type="dxa"/>
            <w:vAlign w:val="center"/>
          </w:tcPr>
          <w:p>
            <w:pPr>
              <w:rPr>
                <w:rFonts w:ascii="Times New Roman" w:hAnsi="Times New Roman" w:eastAsia="宋体" w:cs="Times New Roman"/>
                <w:sz w:val="21"/>
                <w:szCs w:val="21"/>
              </w:rPr>
            </w:pPr>
            <w:r>
              <w:rPr>
                <w:rFonts w:ascii="Times New Roman" w:hAnsi="Times New Roman" w:eastAsia="宋体" w:cs="Times New Roman"/>
                <w:sz w:val="21"/>
                <w:szCs w:val="21"/>
              </w:rPr>
              <w:t>统一收集后暂存于厂区东侧的生活垃圾暂存箱，由环卫部门统一转运处置。</w:t>
            </w:r>
          </w:p>
        </w:tc>
        <w:tc>
          <w:tcPr>
            <w:tcW w:w="107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ascii="Times New Roman" w:hAnsi="Times New Roman" w:eastAsia="宋体" w:cs="Times New Roman"/>
                <w:sz w:val="21"/>
                <w:szCs w:val="21"/>
              </w:rPr>
            </w:pPr>
          </w:p>
        </w:tc>
        <w:tc>
          <w:tcPr>
            <w:tcW w:w="1287"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color w:val="auto"/>
                <w:sz w:val="21"/>
                <w:szCs w:val="21"/>
              </w:rPr>
              <w:t>猪粪</w:t>
            </w:r>
            <w:r>
              <w:rPr>
                <w:rFonts w:hint="eastAsia"/>
                <w:color w:val="auto"/>
                <w:sz w:val="21"/>
                <w:szCs w:val="21"/>
              </w:rPr>
              <w:t>、沼渣</w:t>
            </w:r>
          </w:p>
        </w:tc>
        <w:tc>
          <w:tcPr>
            <w:tcW w:w="2540" w:type="dxa"/>
            <w:vAlign w:val="center"/>
          </w:tcPr>
          <w:p>
            <w:pPr>
              <w:rPr>
                <w:rFonts w:ascii="Times New Roman" w:hAnsi="Times New Roman" w:eastAsia="宋体" w:cs="Times New Roman"/>
                <w:bCs/>
                <w:color w:val="auto"/>
                <w:sz w:val="21"/>
                <w:szCs w:val="21"/>
              </w:rPr>
            </w:pPr>
            <w:r>
              <w:rPr>
                <w:rFonts w:hint="eastAsia"/>
                <w:color w:val="auto"/>
                <w:sz w:val="21"/>
                <w:szCs w:val="21"/>
              </w:rPr>
              <w:t>委托给重庆合川区旭樾飞生物科技有限公司处理，用于制作有机肥</w:t>
            </w:r>
          </w:p>
        </w:tc>
        <w:tc>
          <w:tcPr>
            <w:tcW w:w="3089" w:type="dxa"/>
            <w:vAlign w:val="center"/>
          </w:tcPr>
          <w:p>
            <w:pPr>
              <w:rPr>
                <w:rFonts w:ascii="Times New Roman" w:hAnsi="Times New Roman" w:eastAsia="宋体" w:cs="Times New Roman"/>
                <w:color w:val="auto"/>
                <w:sz w:val="21"/>
                <w:szCs w:val="21"/>
              </w:rPr>
            </w:pPr>
            <w:r>
              <w:rPr>
                <w:rFonts w:hint="eastAsia"/>
                <w:color w:val="auto"/>
                <w:sz w:val="21"/>
                <w:szCs w:val="21"/>
              </w:rPr>
              <w:t>委托给重庆合川区旭樾飞生物科技有限公司处理，用于制作有机肥</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ascii="Times New Roman" w:hAnsi="Times New Roman" w:eastAsia="宋体" w:cs="Times New Roman"/>
                <w:sz w:val="21"/>
                <w:szCs w:val="21"/>
              </w:rPr>
            </w:pPr>
          </w:p>
        </w:tc>
        <w:tc>
          <w:tcPr>
            <w:tcW w:w="1287"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color w:val="auto"/>
                <w:sz w:val="21"/>
                <w:szCs w:val="21"/>
              </w:rPr>
              <w:t>病死猪及分娩废物</w:t>
            </w:r>
          </w:p>
        </w:tc>
        <w:tc>
          <w:tcPr>
            <w:tcW w:w="2540" w:type="dxa"/>
            <w:vAlign w:val="center"/>
          </w:tcPr>
          <w:p>
            <w:pPr>
              <w:rPr>
                <w:rFonts w:ascii="Times New Roman" w:hAnsi="Times New Roman" w:eastAsia="宋体" w:cs="Times New Roman"/>
                <w:bCs/>
                <w:color w:val="auto"/>
                <w:sz w:val="21"/>
                <w:szCs w:val="21"/>
              </w:rPr>
            </w:pPr>
            <w:r>
              <w:rPr>
                <w:rFonts w:hint="eastAsia"/>
                <w:color w:val="auto"/>
                <w:sz w:val="21"/>
                <w:szCs w:val="21"/>
              </w:rPr>
              <w:t>设置2口安全填埋井，安全填埋，总容积3</w:t>
            </w:r>
            <w:r>
              <w:rPr>
                <w:color w:val="auto"/>
                <w:sz w:val="21"/>
                <w:szCs w:val="21"/>
              </w:rPr>
              <w:t>00</w:t>
            </w:r>
            <w:r>
              <w:rPr>
                <w:rFonts w:hint="eastAsia"/>
                <w:color w:val="auto"/>
                <w:sz w:val="21"/>
                <w:szCs w:val="21"/>
              </w:rPr>
              <w:t>m³，近期进行安全填埋，远期合川病死畜禽集中无害化处理项目建成后，交合川区动物无害化处理场进行集中处置。</w:t>
            </w:r>
          </w:p>
        </w:tc>
        <w:tc>
          <w:tcPr>
            <w:tcW w:w="3089" w:type="dxa"/>
            <w:vAlign w:val="center"/>
          </w:tcPr>
          <w:p>
            <w:pPr>
              <w:rPr>
                <w:rFonts w:ascii="Times New Roman" w:hAnsi="Times New Roman" w:eastAsia="宋体" w:cs="Times New Roman"/>
                <w:color w:val="auto"/>
                <w:sz w:val="21"/>
                <w:szCs w:val="21"/>
              </w:rPr>
            </w:pPr>
            <w:r>
              <w:rPr>
                <w:rFonts w:hint="eastAsia"/>
                <w:color w:val="auto"/>
                <w:sz w:val="21"/>
                <w:szCs w:val="21"/>
              </w:rPr>
              <w:t>设置2口安全填埋井，安全填埋，总容积3</w:t>
            </w:r>
            <w:r>
              <w:rPr>
                <w:color w:val="auto"/>
                <w:sz w:val="21"/>
                <w:szCs w:val="21"/>
              </w:rPr>
              <w:t>00</w:t>
            </w:r>
            <w:r>
              <w:rPr>
                <w:rFonts w:hint="eastAsia"/>
                <w:color w:val="auto"/>
                <w:sz w:val="21"/>
                <w:szCs w:val="21"/>
              </w:rPr>
              <w:t>m³，近期进行安全填埋，远期合川病死畜禽集中无害化处理项目建成后，交合川区动物无害化处理场进行集中处置。</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continue"/>
            <w:vAlign w:val="center"/>
          </w:tcPr>
          <w:p>
            <w:pPr>
              <w:jc w:val="center"/>
              <w:rPr>
                <w:rFonts w:ascii="Times New Roman" w:hAnsi="Times New Roman" w:eastAsia="宋体" w:cs="Times New Roman"/>
                <w:sz w:val="21"/>
                <w:szCs w:val="21"/>
              </w:rPr>
            </w:pPr>
          </w:p>
        </w:tc>
        <w:tc>
          <w:tcPr>
            <w:tcW w:w="1287"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color w:val="auto"/>
                <w:sz w:val="21"/>
                <w:szCs w:val="21"/>
              </w:rPr>
              <w:t>医疗废物</w:t>
            </w:r>
          </w:p>
        </w:tc>
        <w:tc>
          <w:tcPr>
            <w:tcW w:w="2540" w:type="dxa"/>
            <w:vAlign w:val="center"/>
          </w:tcPr>
          <w:p>
            <w:pPr>
              <w:rPr>
                <w:rFonts w:ascii="Times New Roman" w:hAnsi="Times New Roman" w:eastAsia="宋体" w:cs="Times New Roman"/>
                <w:bCs/>
                <w:color w:val="auto"/>
                <w:sz w:val="21"/>
                <w:szCs w:val="21"/>
              </w:rPr>
            </w:pPr>
            <w:r>
              <w:rPr>
                <w:rFonts w:ascii="Calibri" w:hAnsi="Calibri"/>
                <w:color w:val="auto"/>
                <w:sz w:val="21"/>
                <w:szCs w:val="21"/>
              </w:rPr>
              <w:t>危险废</w:t>
            </w:r>
            <w:r>
              <w:rPr>
                <w:color w:val="auto"/>
                <w:sz w:val="21"/>
                <w:szCs w:val="21"/>
              </w:rPr>
              <w:t>物暂存间设置在厂区南侧，建筑面积约5m</w:t>
            </w:r>
            <w:r>
              <w:rPr>
                <w:color w:val="auto"/>
                <w:sz w:val="21"/>
                <w:szCs w:val="21"/>
                <w:vertAlign w:val="superscript"/>
              </w:rPr>
              <w:t>2</w:t>
            </w:r>
            <w:r>
              <w:rPr>
                <w:color w:val="auto"/>
                <w:sz w:val="21"/>
                <w:szCs w:val="21"/>
              </w:rPr>
              <w:t>，医疗废物暂存于危险废物暂存间，定期交由有资质的单位处置</w:t>
            </w:r>
          </w:p>
        </w:tc>
        <w:tc>
          <w:tcPr>
            <w:tcW w:w="3089" w:type="dxa"/>
            <w:vAlign w:val="center"/>
          </w:tcPr>
          <w:p>
            <w:pPr>
              <w:rPr>
                <w:rFonts w:ascii="Times New Roman" w:hAnsi="Times New Roman" w:eastAsia="宋体" w:cs="Times New Roman"/>
                <w:color w:val="auto"/>
                <w:sz w:val="21"/>
                <w:szCs w:val="21"/>
              </w:rPr>
            </w:pPr>
            <w:r>
              <w:rPr>
                <w:rFonts w:ascii="Calibri" w:hAnsi="Calibri"/>
                <w:color w:val="auto"/>
                <w:sz w:val="21"/>
                <w:szCs w:val="21"/>
              </w:rPr>
              <w:t>危险废</w:t>
            </w:r>
            <w:r>
              <w:rPr>
                <w:color w:val="auto"/>
                <w:sz w:val="21"/>
                <w:szCs w:val="21"/>
              </w:rPr>
              <w:t>物暂存间设置在厂区南侧，建筑面积约5m</w:t>
            </w:r>
            <w:r>
              <w:rPr>
                <w:color w:val="auto"/>
                <w:sz w:val="21"/>
                <w:szCs w:val="21"/>
                <w:vertAlign w:val="superscript"/>
              </w:rPr>
              <w:t>2</w:t>
            </w:r>
            <w:r>
              <w:rPr>
                <w:color w:val="auto"/>
                <w:sz w:val="21"/>
                <w:szCs w:val="21"/>
              </w:rPr>
              <w:t>，医疗废物暂存于危险废物暂存间，定期交由有资质的单位处置</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jc w:val="center"/>
        </w:trPr>
        <w:tc>
          <w:tcPr>
            <w:tcW w:w="534" w:type="dxa"/>
            <w:vMerge w:val="continue"/>
            <w:vAlign w:val="center"/>
          </w:tcPr>
          <w:p>
            <w:pPr>
              <w:jc w:val="center"/>
              <w:rPr>
                <w:rFonts w:ascii="Times New Roman" w:hAnsi="Times New Roman" w:eastAsia="宋体" w:cs="Times New Roman"/>
                <w:sz w:val="21"/>
                <w:szCs w:val="21"/>
              </w:rPr>
            </w:pPr>
          </w:p>
        </w:tc>
        <w:tc>
          <w:tcPr>
            <w:tcW w:w="1287"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rFonts w:hint="eastAsia"/>
                <w:color w:val="auto"/>
                <w:sz w:val="21"/>
                <w:szCs w:val="21"/>
              </w:rPr>
              <w:t>废脱硫剂</w:t>
            </w:r>
          </w:p>
        </w:tc>
        <w:tc>
          <w:tcPr>
            <w:tcW w:w="2540"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rFonts w:hint="eastAsia"/>
                <w:color w:val="auto"/>
                <w:sz w:val="21"/>
                <w:szCs w:val="20"/>
              </w:rPr>
              <w:t>由厂家进行更换并回收</w:t>
            </w:r>
          </w:p>
        </w:tc>
        <w:tc>
          <w:tcPr>
            <w:tcW w:w="3089" w:type="dxa"/>
            <w:vAlign w:val="center"/>
          </w:tcPr>
          <w:p>
            <w:pPr>
              <w:rPr>
                <w:rFonts w:ascii="Times New Roman" w:hAnsi="Times New Roman" w:eastAsia="宋体" w:cs="Times New Roman"/>
                <w:color w:val="auto"/>
                <w:sz w:val="21"/>
                <w:szCs w:val="21"/>
              </w:rPr>
            </w:pPr>
            <w:r>
              <w:rPr>
                <w:rFonts w:hint="eastAsia"/>
                <w:color w:val="auto"/>
                <w:sz w:val="21"/>
                <w:szCs w:val="20"/>
              </w:rPr>
              <w:t>由厂家进行更换并回收</w:t>
            </w:r>
          </w:p>
        </w:tc>
        <w:tc>
          <w:tcPr>
            <w:tcW w:w="1078" w:type="dxa"/>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jc w:val="center"/>
        </w:trPr>
        <w:tc>
          <w:tcPr>
            <w:tcW w:w="1821" w:type="dxa"/>
            <w:gridSpan w:val="2"/>
            <w:vAlign w:val="center"/>
          </w:tcPr>
          <w:p>
            <w:pPr>
              <w:adjustRightInd w:val="0"/>
              <w:snapToGrid w:val="0"/>
              <w:spacing w:line="261"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生态环境</w:t>
            </w:r>
          </w:p>
        </w:tc>
        <w:tc>
          <w:tcPr>
            <w:tcW w:w="2540" w:type="dxa"/>
            <w:vAlign w:val="center"/>
          </w:tcPr>
          <w:p>
            <w:pPr>
              <w:adjustRightInd w:val="0"/>
              <w:snapToGrid w:val="0"/>
              <w:spacing w:line="261" w:lineRule="exact"/>
              <w:rPr>
                <w:rFonts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场区表层土剥离后用于绿化覆土，按要求对场区进行绿化，施工迹地100%恢复</w:t>
            </w:r>
          </w:p>
        </w:tc>
        <w:tc>
          <w:tcPr>
            <w:tcW w:w="3089" w:type="dxa"/>
            <w:vAlign w:val="center"/>
          </w:tcPr>
          <w:p>
            <w:pPr>
              <w:rPr>
                <w:rFonts w:ascii="Times New Roman" w:hAnsi="Times New Roman" w:eastAsia="宋体" w:cs="Times New Roman"/>
                <w:color w:val="auto"/>
                <w:sz w:val="21"/>
                <w:szCs w:val="21"/>
              </w:rPr>
            </w:pPr>
            <w:r>
              <w:rPr>
                <w:rFonts w:hint="eastAsia" w:ascii="Times New Roman" w:hAnsi="Times New Roman" w:eastAsia="宋体" w:cs="Times New Roman"/>
                <w:bCs/>
                <w:color w:val="auto"/>
                <w:kern w:val="0"/>
                <w:sz w:val="21"/>
                <w:szCs w:val="21"/>
              </w:rPr>
              <w:t>场区表层土剥离后用于绿化覆土，已按要求对场区进行绿化，施工迹地已100%恢复，现场未见明显施工痕迹</w:t>
            </w:r>
          </w:p>
        </w:tc>
        <w:tc>
          <w:tcPr>
            <w:tcW w:w="1078"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jc w:val="center"/>
        </w:trPr>
        <w:tc>
          <w:tcPr>
            <w:tcW w:w="1821" w:type="dxa"/>
            <w:gridSpan w:val="2"/>
            <w:vAlign w:val="center"/>
          </w:tcPr>
          <w:p>
            <w:pPr>
              <w:adjustRightInd w:val="0"/>
              <w:snapToGrid w:val="0"/>
              <w:spacing w:line="261" w:lineRule="exact"/>
              <w:rPr>
                <w:rFonts w:ascii="Times New Roman" w:hAnsi="Times New Roman" w:eastAsia="宋体" w:cs="Times New Roman"/>
                <w:bCs/>
                <w:color w:val="auto"/>
                <w:kern w:val="0"/>
                <w:sz w:val="21"/>
                <w:szCs w:val="21"/>
              </w:rPr>
            </w:pPr>
            <w:r>
              <w:rPr>
                <w:rFonts w:hint="eastAsia" w:ascii="Times New Roman" w:hAnsi="Times New Roman" w:eastAsia="宋体" w:cs="Times New Roman"/>
                <w:color w:val="auto"/>
                <w:sz w:val="21"/>
                <w:szCs w:val="21"/>
              </w:rPr>
              <w:t>环境风险</w:t>
            </w:r>
          </w:p>
        </w:tc>
        <w:tc>
          <w:tcPr>
            <w:tcW w:w="2540" w:type="dxa"/>
            <w:vAlign w:val="center"/>
          </w:tcPr>
          <w:p>
            <w:pPr>
              <w:tabs>
                <w:tab w:val="left" w:pos="1530"/>
              </w:tabs>
              <w:autoSpaceDE w:val="0"/>
              <w:autoSpaceDN w:val="0"/>
              <w:spacing w:line="240" w:lineRule="atLeast"/>
              <w:jc w:val="left"/>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fldChar w:fldCharType="begin"/>
            </w:r>
            <w:r>
              <w:rPr>
                <w:rFonts w:ascii="Times New Roman" w:hAnsi="Times New Roman" w:eastAsia="宋体" w:cs="Times New Roman"/>
                <w:color w:val="auto"/>
                <w:kern w:val="0"/>
                <w:sz w:val="21"/>
                <w:szCs w:val="21"/>
              </w:rPr>
              <w:instrText xml:space="preserve"> </w:instrText>
            </w:r>
            <w:r>
              <w:rPr>
                <w:rFonts w:hint="eastAsia" w:ascii="Times New Roman" w:hAnsi="Times New Roman" w:eastAsia="宋体" w:cs="Times New Roman"/>
                <w:color w:val="auto"/>
                <w:kern w:val="0"/>
                <w:sz w:val="21"/>
                <w:szCs w:val="21"/>
              </w:rPr>
              <w:instrText xml:space="preserve">= 1 \* GB3</w:instrText>
            </w:r>
            <w:r>
              <w:rPr>
                <w:rFonts w:ascii="Times New Roman" w:hAnsi="Times New Roman" w:eastAsia="宋体" w:cs="Times New Roman"/>
                <w:color w:val="auto"/>
                <w:kern w:val="0"/>
                <w:sz w:val="21"/>
                <w:szCs w:val="21"/>
              </w:rPr>
              <w:instrText xml:space="preserve"> </w:instrText>
            </w:r>
            <w:r>
              <w:rPr>
                <w:rFonts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lang w:val="en-US" w:eastAsia="zh-CN"/>
              </w:rPr>
              <w:t>①</w:t>
            </w:r>
            <w:r>
              <w:rPr>
                <w:rFonts w:ascii="Times New Roman" w:hAnsi="Times New Roman" w:eastAsia="宋体" w:cs="Times New Roman"/>
                <w:color w:val="auto"/>
                <w:kern w:val="0"/>
                <w:sz w:val="21"/>
                <w:szCs w:val="21"/>
              </w:rPr>
              <w:fldChar w:fldCharType="end"/>
            </w:r>
            <w:r>
              <w:rPr>
                <w:rFonts w:ascii="Times New Roman" w:hAnsi="Times New Roman" w:eastAsia="宋体" w:cs="Times New Roman"/>
                <w:color w:val="auto"/>
                <w:kern w:val="0"/>
                <w:sz w:val="21"/>
                <w:szCs w:val="21"/>
              </w:rPr>
              <w:t>柴油存放在专用储存间内，柴油采用柴油桶桶装储存，将柴油桶至于托盘内，托盘容积应至少能容纳一桶柴油的量；</w:t>
            </w:r>
          </w:p>
          <w:p>
            <w:pPr>
              <w:tabs>
                <w:tab w:val="left" w:pos="1530"/>
              </w:tabs>
              <w:autoSpaceDE w:val="0"/>
              <w:autoSpaceDN w:val="0"/>
              <w:spacing w:line="240" w:lineRule="atLeast"/>
              <w:jc w:val="left"/>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②</w:t>
            </w:r>
            <w:r>
              <w:rPr>
                <w:rFonts w:ascii="Times New Roman" w:hAnsi="Times New Roman" w:eastAsia="宋体" w:cs="Times New Roman"/>
                <w:color w:val="auto"/>
                <w:kern w:val="0"/>
                <w:sz w:val="21"/>
                <w:szCs w:val="21"/>
              </w:rPr>
              <w:t>设置禁火标志，配备灭火器材；</w:t>
            </w:r>
          </w:p>
          <w:p>
            <w:pPr>
              <w:adjustRightInd w:val="0"/>
              <w:snapToGrid w:val="0"/>
              <w:spacing w:line="261" w:lineRule="exact"/>
              <w:rPr>
                <w:rFonts w:ascii="Times New Roman" w:hAnsi="Times New Roman" w:eastAsia="宋体" w:cs="Times New Roman"/>
                <w:bCs/>
                <w:color w:val="auto"/>
                <w:kern w:val="0"/>
                <w:sz w:val="21"/>
                <w:szCs w:val="21"/>
              </w:rPr>
            </w:pPr>
            <w:r>
              <w:rPr>
                <w:rFonts w:hint="eastAsia" w:ascii="宋体" w:hAnsi="宋体" w:eastAsia="宋体" w:cs="宋体"/>
                <w:color w:val="auto"/>
                <w:kern w:val="0"/>
                <w:sz w:val="21"/>
                <w:szCs w:val="21"/>
              </w:rPr>
              <w:t>③</w:t>
            </w:r>
            <w:r>
              <w:rPr>
                <w:rFonts w:ascii="Times New Roman" w:hAnsi="Times New Roman" w:eastAsia="宋体" w:cs="Times New Roman"/>
                <w:color w:val="auto"/>
                <w:kern w:val="0"/>
                <w:sz w:val="21"/>
                <w:szCs w:val="21"/>
              </w:rPr>
              <w:t>设置总容积1000m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的事故池，混凝土建筑，内壁做防渗处理</w:t>
            </w:r>
          </w:p>
        </w:tc>
        <w:tc>
          <w:tcPr>
            <w:tcW w:w="3089" w:type="dxa"/>
            <w:vAlign w:val="center"/>
          </w:tcPr>
          <w:p>
            <w:pPr>
              <w:tabs>
                <w:tab w:val="left" w:pos="1530"/>
              </w:tabs>
              <w:autoSpaceDE w:val="0"/>
              <w:autoSpaceDN w:val="0"/>
              <w:spacing w:line="240" w:lineRule="atLeast"/>
              <w:jc w:val="left"/>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fldChar w:fldCharType="begin"/>
            </w:r>
            <w:r>
              <w:rPr>
                <w:rFonts w:ascii="Times New Roman" w:hAnsi="Times New Roman" w:eastAsia="宋体" w:cs="Times New Roman"/>
                <w:color w:val="auto"/>
                <w:kern w:val="0"/>
                <w:sz w:val="21"/>
                <w:szCs w:val="21"/>
              </w:rPr>
              <w:instrText xml:space="preserve"> </w:instrText>
            </w:r>
            <w:r>
              <w:rPr>
                <w:rFonts w:hint="eastAsia" w:ascii="Times New Roman" w:hAnsi="Times New Roman" w:eastAsia="宋体" w:cs="Times New Roman"/>
                <w:color w:val="auto"/>
                <w:kern w:val="0"/>
                <w:sz w:val="21"/>
                <w:szCs w:val="21"/>
              </w:rPr>
              <w:instrText xml:space="preserve">= 1 \* GB3</w:instrText>
            </w:r>
            <w:r>
              <w:rPr>
                <w:rFonts w:ascii="Times New Roman" w:hAnsi="Times New Roman" w:eastAsia="宋体" w:cs="Times New Roman"/>
                <w:color w:val="auto"/>
                <w:kern w:val="0"/>
                <w:sz w:val="21"/>
                <w:szCs w:val="21"/>
              </w:rPr>
              <w:instrText xml:space="preserve"> </w:instrText>
            </w:r>
            <w:r>
              <w:rPr>
                <w:rFonts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lang w:val="en-US" w:eastAsia="zh-CN"/>
              </w:rPr>
              <w:t>①</w:t>
            </w:r>
            <w:r>
              <w:rPr>
                <w:rFonts w:ascii="Times New Roman" w:hAnsi="Times New Roman" w:eastAsia="宋体" w:cs="Times New Roman"/>
                <w:color w:val="auto"/>
                <w:kern w:val="0"/>
                <w:sz w:val="21"/>
                <w:szCs w:val="21"/>
              </w:rPr>
              <w:fldChar w:fldCharType="end"/>
            </w:r>
            <w:r>
              <w:rPr>
                <w:rFonts w:ascii="Times New Roman" w:hAnsi="Times New Roman" w:eastAsia="宋体" w:cs="Times New Roman"/>
                <w:color w:val="auto"/>
                <w:kern w:val="0"/>
                <w:sz w:val="21"/>
                <w:szCs w:val="21"/>
              </w:rPr>
              <w:t>柴油存放在专用储存间内，柴油采用柴油桶桶装储存，</w:t>
            </w:r>
            <w:r>
              <w:rPr>
                <w:rFonts w:hint="eastAsia" w:ascii="Times New Roman" w:hAnsi="Times New Roman" w:eastAsia="宋体" w:cs="Times New Roman"/>
                <w:color w:val="auto"/>
                <w:kern w:val="0"/>
                <w:sz w:val="21"/>
                <w:szCs w:val="21"/>
              </w:rPr>
              <w:t>已</w:t>
            </w:r>
            <w:r>
              <w:rPr>
                <w:rFonts w:ascii="Times New Roman" w:hAnsi="Times New Roman" w:eastAsia="宋体" w:cs="Times New Roman"/>
                <w:color w:val="auto"/>
                <w:kern w:val="0"/>
                <w:sz w:val="21"/>
                <w:szCs w:val="21"/>
              </w:rPr>
              <w:t>将柴油桶至于托盘内，托盘容积</w:t>
            </w:r>
            <w:r>
              <w:rPr>
                <w:rFonts w:hint="eastAsia" w:ascii="Times New Roman" w:hAnsi="Times New Roman" w:eastAsia="宋体" w:cs="Times New Roman"/>
                <w:color w:val="auto"/>
                <w:kern w:val="0"/>
                <w:sz w:val="21"/>
                <w:szCs w:val="21"/>
              </w:rPr>
              <w:t>满足要求</w:t>
            </w:r>
            <w:r>
              <w:rPr>
                <w:rFonts w:ascii="Times New Roman" w:hAnsi="Times New Roman" w:eastAsia="宋体" w:cs="Times New Roman"/>
                <w:color w:val="auto"/>
                <w:kern w:val="0"/>
                <w:sz w:val="21"/>
                <w:szCs w:val="21"/>
              </w:rPr>
              <w:t>；</w:t>
            </w:r>
          </w:p>
          <w:p>
            <w:pPr>
              <w:tabs>
                <w:tab w:val="left" w:pos="1530"/>
              </w:tabs>
              <w:autoSpaceDE w:val="0"/>
              <w:autoSpaceDN w:val="0"/>
              <w:spacing w:line="240" w:lineRule="atLeast"/>
              <w:jc w:val="left"/>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②已</w:t>
            </w:r>
            <w:r>
              <w:rPr>
                <w:rFonts w:ascii="Times New Roman" w:hAnsi="Times New Roman" w:eastAsia="宋体" w:cs="Times New Roman"/>
                <w:color w:val="auto"/>
                <w:kern w:val="0"/>
                <w:sz w:val="21"/>
                <w:szCs w:val="21"/>
              </w:rPr>
              <w:t>设置禁火标志，</w:t>
            </w:r>
            <w:r>
              <w:rPr>
                <w:rFonts w:hint="eastAsia" w:ascii="Times New Roman" w:hAnsi="Times New Roman" w:eastAsia="宋体" w:cs="Times New Roman"/>
                <w:color w:val="auto"/>
                <w:kern w:val="0"/>
                <w:sz w:val="21"/>
                <w:szCs w:val="21"/>
              </w:rPr>
              <w:t>已</w:t>
            </w:r>
            <w:r>
              <w:rPr>
                <w:rFonts w:ascii="Times New Roman" w:hAnsi="Times New Roman" w:eastAsia="宋体" w:cs="Times New Roman"/>
                <w:color w:val="auto"/>
                <w:kern w:val="0"/>
                <w:sz w:val="21"/>
                <w:szCs w:val="21"/>
              </w:rPr>
              <w:t>配备灭火器材；</w:t>
            </w:r>
          </w:p>
          <w:p>
            <w:pPr>
              <w:rPr>
                <w:rFonts w:ascii="Times New Roman" w:hAnsi="Times New Roman" w:eastAsia="宋体" w:cs="Times New Roman"/>
                <w:bCs/>
                <w:color w:val="auto"/>
                <w:kern w:val="0"/>
                <w:sz w:val="21"/>
                <w:szCs w:val="21"/>
              </w:rPr>
            </w:pPr>
            <w:r>
              <w:rPr>
                <w:rFonts w:hint="eastAsia" w:ascii="宋体" w:hAnsi="宋体" w:eastAsia="宋体" w:cs="宋体"/>
                <w:color w:val="auto"/>
                <w:kern w:val="0"/>
                <w:sz w:val="21"/>
                <w:szCs w:val="21"/>
              </w:rPr>
              <w:t>③已</w:t>
            </w:r>
            <w:r>
              <w:rPr>
                <w:rFonts w:ascii="Times New Roman" w:hAnsi="Times New Roman" w:eastAsia="宋体" w:cs="Times New Roman"/>
                <w:color w:val="auto"/>
                <w:kern w:val="0"/>
                <w:sz w:val="21"/>
                <w:szCs w:val="21"/>
              </w:rPr>
              <w:t>设置总容积1000m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的事故池，混凝土建筑，内壁做防渗处理</w:t>
            </w:r>
          </w:p>
        </w:tc>
        <w:tc>
          <w:tcPr>
            <w:tcW w:w="107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已落实</w:t>
            </w:r>
          </w:p>
        </w:tc>
      </w:tr>
    </w:tbl>
    <w:p>
      <w:pPr>
        <w:spacing w:line="360" w:lineRule="auto"/>
        <w:ind w:firstLine="480" w:firstLineChars="200"/>
        <w:rPr>
          <w:rFonts w:ascii="Times New Roman" w:hAnsi="Times New Roman" w:cs="Times New Roman"/>
        </w:rPr>
      </w:pPr>
      <w:r>
        <w:rPr>
          <w:rFonts w:ascii="Times New Roman" w:hAnsi="Times New Roman" w:eastAsia="宋体" w:cs="Times New Roman"/>
        </w:rPr>
        <w:t>本项目环保资金落实到位，环保设施处理能力与现阶段生产能力相匹配，满足环保设施与主体工程同时设计</w:t>
      </w:r>
      <w:r>
        <w:rPr>
          <w:rFonts w:ascii="Times New Roman" w:hAnsi="Times New Roman" w:eastAsia="宋体" w:cs="Times New Roman"/>
          <w:bCs/>
          <w:sz w:val="21"/>
          <w:szCs w:val="21"/>
        </w:rPr>
        <w:t>、</w:t>
      </w:r>
      <w:r>
        <w:rPr>
          <w:rFonts w:ascii="Times New Roman" w:hAnsi="Times New Roman" w:eastAsia="宋体" w:cs="Times New Roman"/>
        </w:rPr>
        <w:t>同时施工</w:t>
      </w:r>
      <w:r>
        <w:rPr>
          <w:rFonts w:ascii="Times New Roman" w:hAnsi="Times New Roman" w:eastAsia="宋体" w:cs="Times New Roman"/>
          <w:bCs/>
          <w:sz w:val="21"/>
          <w:szCs w:val="21"/>
        </w:rPr>
        <w:t>、</w:t>
      </w:r>
      <w:r>
        <w:rPr>
          <w:rFonts w:ascii="Times New Roman" w:hAnsi="Times New Roman" w:eastAsia="宋体" w:cs="Times New Roman"/>
        </w:rPr>
        <w:t>同时投入生产使用的“三同时”要求。</w:t>
      </w:r>
    </w:p>
    <w:p>
      <w:pPr>
        <w:pStyle w:val="2"/>
        <w:rPr>
          <w:rFonts w:cs="Times New Roman"/>
        </w:rPr>
      </w:pPr>
      <w:bookmarkStart w:id="100" w:name="_Toc497988059"/>
      <w:bookmarkStart w:id="101" w:name="_Toc497926008"/>
      <w:bookmarkStart w:id="102" w:name="_Toc497987778"/>
      <w:bookmarkStart w:id="103" w:name="_Toc497987616"/>
      <w:r>
        <w:rPr>
          <w:rFonts w:cs="Times New Roman"/>
        </w:rPr>
        <w:br w:type="page"/>
      </w:r>
      <w:bookmarkStart w:id="104" w:name="_Toc102039300"/>
      <w:bookmarkStart w:id="105" w:name="_Toc32625"/>
      <w:bookmarkStart w:id="106" w:name="_Toc29396"/>
      <w:r>
        <w:rPr>
          <w:rFonts w:cs="Times New Roman"/>
          <w:szCs w:val="36"/>
        </w:rPr>
        <w:t>5 环评报告的主要结论与建议及审批部门审批决定</w:t>
      </w:r>
      <w:bookmarkEnd w:id="100"/>
      <w:bookmarkEnd w:id="101"/>
      <w:bookmarkEnd w:id="102"/>
      <w:bookmarkEnd w:id="103"/>
      <w:bookmarkEnd w:id="104"/>
      <w:bookmarkEnd w:id="105"/>
      <w:bookmarkEnd w:id="106"/>
    </w:p>
    <w:p>
      <w:pPr>
        <w:pStyle w:val="3"/>
        <w:rPr>
          <w:rFonts w:cs="Times New Roman"/>
          <w:szCs w:val="28"/>
        </w:rPr>
      </w:pPr>
      <w:bookmarkStart w:id="107" w:name="_Toc497988060"/>
      <w:bookmarkStart w:id="108" w:name="_Toc102039301"/>
      <w:bookmarkStart w:id="109" w:name="_Toc497926009"/>
      <w:bookmarkStart w:id="110" w:name="_Toc497987617"/>
      <w:bookmarkStart w:id="111" w:name="_Toc497987779"/>
      <w:bookmarkStart w:id="112" w:name="_Toc9274"/>
      <w:bookmarkStart w:id="113" w:name="_Toc3662"/>
      <w:r>
        <w:rPr>
          <w:rFonts w:cs="Times New Roman"/>
          <w:szCs w:val="28"/>
        </w:rPr>
        <w:t>5.1环评报告的主要结论与建议</w:t>
      </w:r>
      <w:bookmarkEnd w:id="107"/>
      <w:bookmarkEnd w:id="108"/>
      <w:bookmarkEnd w:id="109"/>
      <w:bookmarkEnd w:id="110"/>
      <w:bookmarkEnd w:id="111"/>
      <w:bookmarkEnd w:id="112"/>
      <w:bookmarkEnd w:id="113"/>
    </w:p>
    <w:p>
      <w:pPr>
        <w:pStyle w:val="5"/>
        <w:rPr>
          <w:rFonts w:cs="Times New Roman"/>
        </w:rPr>
      </w:pPr>
      <w:r>
        <w:rPr>
          <w:rFonts w:cs="Times New Roman"/>
        </w:rPr>
        <w:t>5.1.1环评报告书的主要结论</w:t>
      </w:r>
    </w:p>
    <w:p>
      <w:pPr>
        <w:pStyle w:val="5"/>
        <w:rPr>
          <w:rFonts w:cs="Times New Roman"/>
        </w:rPr>
      </w:pPr>
      <w:r>
        <w:rPr>
          <w:rFonts w:cs="Times New Roman"/>
        </w:rPr>
        <w:t>5.1.1.1项目概况</w:t>
      </w:r>
    </w:p>
    <w:p>
      <w:pPr>
        <w:widowControl/>
        <w:adjustRightInd w:val="0"/>
        <w:snapToGrid w:val="0"/>
        <w:spacing w:line="460" w:lineRule="exact"/>
        <w:ind w:firstLine="480" w:firstLineChars="200"/>
        <w:jc w:val="left"/>
        <w:rPr>
          <w:rFonts w:hint="eastAsia" w:ascii="Times New Roman" w:hAnsi="宋体" w:eastAsia="宋体" w:cs="Times New Roman"/>
          <w:bCs/>
          <w:kern w:val="0"/>
        </w:rPr>
      </w:pPr>
      <w:r>
        <w:rPr>
          <w:rFonts w:ascii="Times New Roman" w:hAnsi="Times New Roman" w:eastAsia="宋体" w:cs="Times New Roman"/>
        </w:rPr>
        <w:t>合川区尹发家庭农场</w:t>
      </w:r>
      <w:r>
        <w:rPr>
          <w:rFonts w:ascii="Times New Roman" w:hAnsi="Times New Roman" w:eastAsia="宋体" w:cs="Times New Roman"/>
          <w:kern w:val="0"/>
        </w:rPr>
        <w:t>2020年</w:t>
      </w:r>
      <w:r>
        <w:rPr>
          <w:rFonts w:hint="eastAsia" w:ascii="Times New Roman" w:hAnsi="Times New Roman" w:eastAsia="宋体" w:cs="Times New Roman"/>
          <w:kern w:val="0"/>
        </w:rPr>
        <w:t>6</w:t>
      </w:r>
      <w:r>
        <w:rPr>
          <w:rFonts w:ascii="Times New Roman" w:hAnsi="Times New Roman" w:eastAsia="宋体" w:cs="Times New Roman"/>
          <w:kern w:val="0"/>
        </w:rPr>
        <w:t>月</w:t>
      </w:r>
      <w:r>
        <w:rPr>
          <w:rFonts w:hint="eastAsia" w:ascii="Times New Roman" w:hAnsi="Times New Roman" w:eastAsia="宋体" w:cs="Times New Roman"/>
          <w:kern w:val="0"/>
        </w:rPr>
        <w:t>拟建生猪养殖项目</w:t>
      </w:r>
      <w:r>
        <w:rPr>
          <w:rFonts w:ascii="Times New Roman" w:hAnsi="Times New Roman" w:eastAsia="宋体" w:cs="Times New Roman"/>
          <w:kern w:val="0"/>
        </w:rPr>
        <w:t>，</w:t>
      </w:r>
      <w:r>
        <w:rPr>
          <w:rFonts w:hint="eastAsia" w:ascii="Times New Roman" w:hAnsi="Times New Roman" w:eastAsia="宋体" w:cs="Times New Roman"/>
          <w:kern w:val="0"/>
        </w:rPr>
        <w:t>因公司的发展和市场需求调整，项目在建设过程中建设内容发生调整，对照原备案环评登记备案表，</w:t>
      </w:r>
      <w:r>
        <w:rPr>
          <w:rFonts w:ascii="Times New Roman" w:hAnsi="Times New Roman" w:eastAsia="宋体" w:cs="Times New Roman"/>
        </w:rPr>
        <w:t>合川区尹发家庭农场</w:t>
      </w:r>
      <w:r>
        <w:rPr>
          <w:rFonts w:hint="eastAsia" w:ascii="Times New Roman" w:hAnsi="Times New Roman" w:eastAsia="宋体" w:cs="Times New Roman"/>
          <w:kern w:val="0"/>
        </w:rPr>
        <w:t>巴渝土杂猪养殖项目养殖规模增大30%以上，发生了重大变化，应重新报批环境影响报告书。</w:t>
      </w:r>
    </w:p>
    <w:p>
      <w:pPr>
        <w:autoSpaceDE w:val="0"/>
        <w:autoSpaceDN w:val="0"/>
        <w:spacing w:line="440" w:lineRule="exact"/>
        <w:ind w:firstLine="480" w:firstLineChars="200"/>
        <w:rPr>
          <w:rFonts w:ascii="Times New Roman" w:hAnsi="Times New Roman" w:eastAsia="宋体" w:cs="Times New Roman"/>
          <w:kern w:val="0"/>
        </w:rPr>
      </w:pPr>
      <w:r>
        <w:rPr>
          <w:rFonts w:hint="eastAsia" w:ascii="Times New Roman" w:hAnsi="宋体" w:eastAsia="宋体" w:cs="Times New Roman"/>
          <w:bCs/>
          <w:kern w:val="0"/>
        </w:rPr>
        <w:t>本项目变更后</w:t>
      </w:r>
      <w:r>
        <w:rPr>
          <w:rFonts w:ascii="Times New Roman" w:hAnsi="宋体" w:eastAsia="宋体" w:cs="Times New Roman"/>
          <w:bCs/>
          <w:kern w:val="0"/>
        </w:rPr>
        <w:t>，</w:t>
      </w:r>
      <w:r>
        <w:rPr>
          <w:rFonts w:ascii="Times New Roman" w:hAnsi="Times New Roman" w:eastAsia="宋体" w:cs="Times New Roman"/>
          <w:kern w:val="0"/>
        </w:rPr>
        <w:t>总占地面积约为</w:t>
      </w:r>
      <w:r>
        <w:rPr>
          <w:rFonts w:hint="eastAsia" w:ascii="Times New Roman" w:hAnsi="Times New Roman" w:eastAsia="宋体" w:cs="Times New Roman"/>
          <w:kern w:val="0"/>
        </w:rPr>
        <w:t>8000m</w:t>
      </w:r>
      <w:r>
        <w:rPr>
          <w:rFonts w:hint="eastAsia" w:ascii="Times New Roman" w:hAnsi="Times New Roman" w:eastAsia="宋体" w:cs="Times New Roman"/>
          <w:kern w:val="0"/>
          <w:vertAlign w:val="superscript"/>
        </w:rPr>
        <w:t>2</w:t>
      </w:r>
      <w:r>
        <w:rPr>
          <w:rFonts w:ascii="Times New Roman" w:hAnsi="Times New Roman" w:eastAsia="宋体" w:cs="Times New Roman"/>
          <w:kern w:val="0"/>
        </w:rPr>
        <w:t>，建成后年出栏12万头商品仔猪。建设项目于202</w:t>
      </w:r>
      <w:r>
        <w:rPr>
          <w:rFonts w:hint="eastAsia" w:ascii="Times New Roman" w:hAnsi="Times New Roman" w:eastAsia="宋体" w:cs="Times New Roman"/>
          <w:kern w:val="0"/>
        </w:rPr>
        <w:t>1</w:t>
      </w:r>
      <w:r>
        <w:rPr>
          <w:rFonts w:ascii="Times New Roman" w:hAnsi="Times New Roman" w:eastAsia="宋体" w:cs="Times New Roman"/>
          <w:kern w:val="0"/>
        </w:rPr>
        <w:t>年取得重庆企业投资项目备案证，项目代码为：</w:t>
      </w:r>
      <w:r>
        <w:rPr>
          <w:rFonts w:ascii="Times New Roman" w:hAnsi="Times New Roman" w:eastAsia="宋体" w:cs="Times New Roman"/>
        </w:rPr>
        <w:t>2</w:t>
      </w:r>
      <w:r>
        <w:rPr>
          <w:rFonts w:hint="eastAsia" w:ascii="Times New Roman" w:hAnsi="Times New Roman" w:eastAsia="宋体" w:cs="Times New Roman"/>
        </w:rPr>
        <w:t>10</w:t>
      </w:r>
      <w:r>
        <w:rPr>
          <w:rFonts w:ascii="Times New Roman" w:hAnsi="Times New Roman" w:eastAsia="宋体" w:cs="Times New Roman"/>
        </w:rPr>
        <w:t>1-500117-04-05-449850</w:t>
      </w:r>
      <w:r>
        <w:rPr>
          <w:rFonts w:ascii="Times New Roman" w:hAnsi="Times New Roman" w:eastAsia="宋体" w:cs="Times New Roman"/>
          <w:kern w:val="0"/>
        </w:rPr>
        <w:t>，</w:t>
      </w:r>
      <w:r>
        <w:rPr>
          <w:rFonts w:ascii="Times New Roman" w:hAnsi="Times New Roman" w:eastAsia="宋体" w:cs="Times New Roman"/>
          <w:color w:val="000000"/>
          <w:kern w:val="0"/>
          <w:lang w:bidi="ar"/>
        </w:rPr>
        <w:t>主要建设内容包括：</w:t>
      </w:r>
      <w:r>
        <w:rPr>
          <w:rFonts w:ascii="Times New Roman" w:hAnsi="Times New Roman" w:eastAsia="宋体" w:cs="Times New Roman"/>
          <w:color w:val="000000"/>
        </w:rPr>
        <w:t>育肥猪圈舍，保育猪圈舍，</w:t>
      </w:r>
      <w:r>
        <w:rPr>
          <w:rFonts w:hint="eastAsia" w:ascii="Times New Roman" w:hAnsi="Times New Roman" w:eastAsia="宋体" w:cs="Times New Roman"/>
          <w:color w:val="000000"/>
        </w:rPr>
        <w:t>妊娠舍、分娩舍</w:t>
      </w:r>
      <w:r>
        <w:rPr>
          <w:rFonts w:ascii="Times New Roman" w:hAnsi="Times New Roman" w:eastAsia="宋体" w:cs="Times New Roman"/>
          <w:color w:val="000000"/>
        </w:rPr>
        <w:t>、检验检疫室</w:t>
      </w:r>
      <w:r>
        <w:rPr>
          <w:rFonts w:hint="eastAsia" w:ascii="Times New Roman" w:hAnsi="Times New Roman" w:eastAsia="宋体" w:cs="Times New Roman"/>
          <w:color w:val="000000"/>
        </w:rPr>
        <w:t>、隔离舍</w:t>
      </w:r>
      <w:r>
        <w:rPr>
          <w:rFonts w:ascii="Times New Roman" w:hAnsi="Times New Roman" w:eastAsia="宋体" w:cs="Times New Roman"/>
          <w:color w:val="000000"/>
          <w:kern w:val="0"/>
          <w:lang w:bidi="ar"/>
        </w:rPr>
        <w:t>，配套建设 1 套粪污处理设施</w:t>
      </w:r>
      <w:r>
        <w:rPr>
          <w:rFonts w:ascii="Times New Roman" w:hAnsi="Times New Roman" w:eastAsia="宋体" w:cs="Times New Roman"/>
          <w:kern w:val="0"/>
        </w:rPr>
        <w:t>。总投资</w:t>
      </w:r>
      <w:r>
        <w:rPr>
          <w:rFonts w:hint="eastAsia" w:ascii="Times New Roman" w:hAnsi="Times New Roman" w:eastAsia="宋体" w:cs="Times New Roman"/>
          <w:kern w:val="0"/>
        </w:rPr>
        <w:t>2800</w:t>
      </w:r>
      <w:r>
        <w:rPr>
          <w:rFonts w:ascii="Times New Roman" w:hAnsi="Times New Roman" w:eastAsia="宋体" w:cs="Times New Roman"/>
          <w:kern w:val="0"/>
        </w:rPr>
        <w:t>万元，其中环保投资1</w:t>
      </w:r>
      <w:r>
        <w:rPr>
          <w:rFonts w:hint="eastAsia" w:ascii="Times New Roman" w:hAnsi="Times New Roman" w:eastAsia="宋体" w:cs="Times New Roman"/>
          <w:kern w:val="0"/>
        </w:rPr>
        <w:t>70</w:t>
      </w:r>
      <w:r>
        <w:rPr>
          <w:rFonts w:ascii="Times New Roman" w:hAnsi="Times New Roman" w:eastAsia="宋体" w:cs="Times New Roman"/>
          <w:kern w:val="0"/>
        </w:rPr>
        <w:t>万元，占总投资的6.07%。</w:t>
      </w:r>
    </w:p>
    <w:p>
      <w:pPr>
        <w:pStyle w:val="5"/>
        <w:rPr>
          <w:rFonts w:cs="Times New Roman"/>
        </w:rPr>
      </w:pPr>
      <w:r>
        <w:rPr>
          <w:rFonts w:cs="Times New Roman"/>
        </w:rPr>
        <w:t xml:space="preserve">5.1.1.2 </w:t>
      </w:r>
      <w:r>
        <w:rPr>
          <w:rFonts w:hint="eastAsia" w:cs="Times New Roman"/>
        </w:rPr>
        <w:t>环境质量现状</w:t>
      </w:r>
    </w:p>
    <w:p>
      <w:pPr>
        <w:autoSpaceDE w:val="0"/>
        <w:autoSpaceDN w:val="0"/>
        <w:spacing w:line="440" w:lineRule="exact"/>
        <w:ind w:firstLine="480" w:firstLineChars="200"/>
        <w:rPr>
          <w:rFonts w:ascii="Times New Roman" w:hAnsi="Times New Roman" w:eastAsia="宋体" w:cs="Times New Roman"/>
          <w:kern w:val="0"/>
        </w:rPr>
      </w:pPr>
      <w:bookmarkStart w:id="114" w:name="_Toc14609"/>
      <w:r>
        <w:rPr>
          <w:rFonts w:ascii="Times New Roman" w:hAnsi="Times New Roman" w:eastAsia="宋体" w:cs="Times New Roman"/>
          <w:kern w:val="0"/>
        </w:rPr>
        <w:t>（1）环境空气质量现状</w:t>
      </w:r>
      <w:bookmarkEnd w:id="114"/>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项目所在区域环境空气质量现状PM</w:t>
      </w:r>
      <w:r>
        <w:rPr>
          <w:rFonts w:ascii="Times New Roman" w:hAnsi="Times New Roman" w:eastAsia="宋体" w:cs="Times New Roman"/>
          <w:kern w:val="0"/>
          <w:vertAlign w:val="subscript"/>
        </w:rPr>
        <w:t>2.5</w:t>
      </w:r>
      <w:r>
        <w:rPr>
          <w:rFonts w:ascii="Times New Roman" w:hAnsi="Times New Roman" w:eastAsia="宋体" w:cs="Times New Roman"/>
          <w:kern w:val="0"/>
        </w:rPr>
        <w:t>、SO</w:t>
      </w:r>
      <w:r>
        <w:rPr>
          <w:rFonts w:ascii="Times New Roman" w:hAnsi="Times New Roman" w:eastAsia="宋体" w:cs="Times New Roman"/>
          <w:kern w:val="0"/>
          <w:vertAlign w:val="subscript"/>
        </w:rPr>
        <w:t>2</w:t>
      </w:r>
      <w:r>
        <w:rPr>
          <w:rFonts w:ascii="Times New Roman" w:hAnsi="Times New Roman" w:eastAsia="宋体" w:cs="Times New Roman"/>
          <w:kern w:val="0"/>
        </w:rPr>
        <w:t>、NO</w:t>
      </w:r>
      <w:r>
        <w:rPr>
          <w:rFonts w:ascii="Times New Roman" w:hAnsi="Times New Roman" w:eastAsia="宋体" w:cs="Times New Roman"/>
          <w:kern w:val="0"/>
          <w:vertAlign w:val="subscript"/>
        </w:rPr>
        <w:t>2</w:t>
      </w:r>
      <w:r>
        <w:rPr>
          <w:rFonts w:ascii="Times New Roman" w:hAnsi="Times New Roman" w:eastAsia="宋体" w:cs="Times New Roman"/>
          <w:kern w:val="0"/>
        </w:rPr>
        <w:t>、PM</w:t>
      </w:r>
      <w:r>
        <w:rPr>
          <w:rFonts w:ascii="Times New Roman" w:hAnsi="Times New Roman" w:eastAsia="宋体" w:cs="Times New Roman"/>
          <w:kern w:val="0"/>
          <w:vertAlign w:val="subscript"/>
        </w:rPr>
        <w:t>10</w:t>
      </w:r>
      <w:r>
        <w:rPr>
          <w:rFonts w:ascii="Times New Roman" w:hAnsi="Times New Roman" w:eastAsia="宋体" w:cs="Times New Roman"/>
          <w:kern w:val="0"/>
        </w:rPr>
        <w:t>、CO和O</w:t>
      </w:r>
      <w:r>
        <w:rPr>
          <w:rFonts w:ascii="Times New Roman" w:hAnsi="Times New Roman" w:eastAsia="宋体" w:cs="Times New Roman"/>
          <w:kern w:val="0"/>
          <w:vertAlign w:val="subscript"/>
        </w:rPr>
        <w:t>3</w:t>
      </w:r>
      <w:r>
        <w:rPr>
          <w:rFonts w:ascii="Times New Roman" w:hAnsi="Times New Roman" w:eastAsia="宋体" w:cs="Times New Roman"/>
          <w:kern w:val="0"/>
        </w:rPr>
        <w:t>均满足《环境空气质量标准》（GB3095-2012）二级标准，属于环境空气</w:t>
      </w:r>
      <w:r>
        <w:rPr>
          <w:rFonts w:hint="eastAsia" w:ascii="Times New Roman" w:hAnsi="Times New Roman" w:eastAsia="宋体" w:cs="Times New Roman"/>
          <w:kern w:val="0"/>
        </w:rPr>
        <w:t>不</w:t>
      </w:r>
      <w:r>
        <w:rPr>
          <w:rFonts w:ascii="Times New Roman" w:hAnsi="Times New Roman" w:eastAsia="宋体" w:cs="Times New Roman"/>
          <w:kern w:val="0"/>
        </w:rPr>
        <w:t>达标区域。</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根据对区域硫化氢、氨进行了补充监测，项目场地所在区域硫化氢、氨均满足参照执行的《环境影响评价技术导则大气环境》（HJ2.2-2018）中附录D参考限值。</w:t>
      </w:r>
    </w:p>
    <w:p>
      <w:pPr>
        <w:autoSpaceDE w:val="0"/>
        <w:autoSpaceDN w:val="0"/>
        <w:spacing w:line="440" w:lineRule="exact"/>
        <w:ind w:firstLine="480" w:firstLineChars="200"/>
        <w:rPr>
          <w:rFonts w:ascii="Times New Roman" w:hAnsi="Times New Roman" w:eastAsia="宋体" w:cs="Times New Roman"/>
          <w:kern w:val="0"/>
        </w:rPr>
      </w:pPr>
      <w:bookmarkStart w:id="115" w:name="_Toc28478"/>
      <w:r>
        <w:rPr>
          <w:rFonts w:ascii="Times New Roman" w:hAnsi="Times New Roman" w:eastAsia="宋体" w:cs="Times New Roman"/>
          <w:kern w:val="0"/>
        </w:rPr>
        <w:t>（2）地表水环境质量现状</w:t>
      </w:r>
      <w:bookmarkEnd w:id="115"/>
    </w:p>
    <w:p>
      <w:pPr>
        <w:autoSpaceDE w:val="0"/>
        <w:autoSpaceDN w:val="0"/>
        <w:spacing w:line="440" w:lineRule="exact"/>
        <w:ind w:firstLine="480" w:firstLineChars="200"/>
        <w:rPr>
          <w:rFonts w:ascii="Times New Roman" w:hAnsi="Times New Roman" w:eastAsia="宋体" w:cs="Times New Roman"/>
          <w:kern w:val="0"/>
        </w:rPr>
      </w:pPr>
      <w:r>
        <w:rPr>
          <w:rFonts w:hint="eastAsia" w:ascii="Times New Roman" w:hAnsi="Times New Roman" w:eastAsia="宋体" w:cs="Times New Roman"/>
          <w:kern w:val="0"/>
        </w:rPr>
        <w:t>九龙沟</w:t>
      </w:r>
      <w:r>
        <w:rPr>
          <w:rFonts w:ascii="Times New Roman" w:hAnsi="Times New Roman" w:eastAsia="宋体" w:cs="Times New Roman"/>
          <w:kern w:val="0"/>
        </w:rPr>
        <w:t>监测断面各监测因子均满足《地表水环境质量标准》(GB3838-2002) Ⅲ类水域标准要求。</w:t>
      </w:r>
    </w:p>
    <w:p>
      <w:pPr>
        <w:autoSpaceDE w:val="0"/>
        <w:autoSpaceDN w:val="0"/>
        <w:spacing w:line="440" w:lineRule="exact"/>
        <w:ind w:firstLine="480" w:firstLineChars="200"/>
        <w:rPr>
          <w:rFonts w:ascii="Times New Roman" w:hAnsi="Times New Roman" w:eastAsia="宋体" w:cs="Times New Roman"/>
          <w:kern w:val="0"/>
        </w:rPr>
      </w:pPr>
      <w:bookmarkStart w:id="116" w:name="_Toc24156"/>
      <w:r>
        <w:rPr>
          <w:rFonts w:ascii="Times New Roman" w:hAnsi="Times New Roman" w:eastAsia="宋体" w:cs="Times New Roman"/>
          <w:kern w:val="0"/>
        </w:rPr>
        <w:t>（3）声环境质量现状</w:t>
      </w:r>
      <w:bookmarkEnd w:id="116"/>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项目所在区域昼间、夜间噪声均满足《声环境质量标准》（GB3096-2008）2类标准。</w:t>
      </w:r>
    </w:p>
    <w:p>
      <w:pPr>
        <w:autoSpaceDE w:val="0"/>
        <w:autoSpaceDN w:val="0"/>
        <w:spacing w:line="440" w:lineRule="exact"/>
        <w:ind w:firstLine="480" w:firstLineChars="200"/>
        <w:rPr>
          <w:rFonts w:ascii="Times New Roman" w:hAnsi="Times New Roman" w:eastAsia="宋体" w:cs="Times New Roman"/>
          <w:kern w:val="0"/>
        </w:rPr>
      </w:pPr>
      <w:bookmarkStart w:id="117" w:name="_Toc21695"/>
      <w:r>
        <w:rPr>
          <w:rFonts w:ascii="Times New Roman" w:hAnsi="Times New Roman" w:eastAsia="宋体" w:cs="Times New Roman"/>
          <w:kern w:val="0"/>
        </w:rPr>
        <w:t>（4）地下水环境质量现状</w:t>
      </w:r>
      <w:bookmarkEnd w:id="117"/>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项目所在区域地下水质量的</w:t>
      </w:r>
      <w:r>
        <w:rPr>
          <w:rFonts w:hint="eastAsia" w:ascii="Times New Roman" w:hAnsi="Times New Roman" w:eastAsia="宋体" w:cs="Times New Roman"/>
          <w:kern w:val="0"/>
        </w:rPr>
        <w:t>3</w:t>
      </w:r>
      <w:r>
        <w:rPr>
          <w:rFonts w:ascii="Times New Roman" w:hAnsi="Times New Roman" w:eastAsia="宋体" w:cs="Times New Roman"/>
          <w:kern w:val="0"/>
        </w:rPr>
        <w:t>个监测点的监测因子均满足《地下水质量标准》（GB/T14848-2017）中Ⅲ类标准限值，所在地地下水质量现状良好。</w:t>
      </w:r>
    </w:p>
    <w:p>
      <w:pPr>
        <w:autoSpaceDE w:val="0"/>
        <w:autoSpaceDN w:val="0"/>
        <w:spacing w:line="440" w:lineRule="exact"/>
        <w:ind w:firstLine="480" w:firstLineChars="200"/>
        <w:rPr>
          <w:rFonts w:ascii="Times New Roman" w:hAnsi="Times New Roman" w:eastAsia="宋体" w:cs="Times New Roman"/>
          <w:kern w:val="0"/>
        </w:rPr>
      </w:pPr>
      <w:bookmarkStart w:id="118" w:name="_Toc31824"/>
      <w:r>
        <w:rPr>
          <w:rFonts w:ascii="Times New Roman" w:hAnsi="Times New Roman" w:eastAsia="宋体" w:cs="Times New Roman"/>
          <w:kern w:val="0"/>
        </w:rPr>
        <w:t>（5）土壤环境质量现状</w:t>
      </w:r>
      <w:bookmarkEnd w:id="118"/>
    </w:p>
    <w:p>
      <w:pPr>
        <w:widowControl/>
        <w:spacing w:line="440" w:lineRule="exact"/>
        <w:ind w:firstLine="480" w:firstLineChars="200"/>
        <w:rPr>
          <w:rFonts w:hint="eastAsia" w:ascii="Times New Roman" w:hAnsi="Times New Roman" w:eastAsia="宋体" w:cs="Times New Roman"/>
          <w:kern w:val="0"/>
        </w:rPr>
      </w:pPr>
      <w:bookmarkStart w:id="119" w:name="12.1.4_施工期环境影响及污染防治措施"/>
      <w:bookmarkEnd w:id="119"/>
      <w:r>
        <w:rPr>
          <w:rFonts w:hint="eastAsia" w:ascii="Times New Roman" w:hAnsi="Times New Roman" w:eastAsia="宋体" w:cs="Times New Roman"/>
          <w:kern w:val="0"/>
        </w:rPr>
        <w:t>T</w:t>
      </w:r>
      <w:r>
        <w:rPr>
          <w:rFonts w:ascii="Times New Roman" w:hAnsi="Times New Roman" w:eastAsia="宋体" w:cs="Times New Roman"/>
          <w:kern w:val="0"/>
        </w:rPr>
        <w:t>1</w:t>
      </w:r>
      <w:r>
        <w:rPr>
          <w:rFonts w:hint="eastAsia" w:ascii="Times New Roman" w:hAnsi="Times New Roman" w:eastAsia="宋体" w:cs="Times New Roman"/>
          <w:kern w:val="0"/>
        </w:rPr>
        <w:t>~T3</w:t>
      </w:r>
      <w:r>
        <w:rPr>
          <w:rFonts w:ascii="Times New Roman" w:hAnsi="Times New Roman" w:eastAsia="宋体" w:cs="Times New Roman"/>
          <w:kern w:val="0"/>
        </w:rPr>
        <w:t>点位于</w:t>
      </w:r>
      <w:r>
        <w:rPr>
          <w:rFonts w:hint="eastAsia" w:ascii="Times New Roman" w:hAnsi="Times New Roman" w:eastAsia="宋体" w:cs="Times New Roman"/>
          <w:kern w:val="0"/>
        </w:rPr>
        <w:t>项目地块内，各监测因子均满足</w:t>
      </w:r>
      <w:r>
        <w:rPr>
          <w:rFonts w:hint="eastAsia" w:ascii="Times New Roman" w:hAnsi="Times New Roman" w:eastAsia="宋体" w:cs="Times New Roman"/>
          <w:kern w:val="0"/>
          <w:szCs w:val="22"/>
        </w:rPr>
        <w:t>《土壤环境质量建设用地土壤污染风险管控标准（试行）》（GB15618--2018）中建设用地土壤污染风险筛选值；T4位于占地范围外，各监测因子均满足</w:t>
      </w:r>
      <w:r>
        <w:rPr>
          <w:rFonts w:ascii="Times New Roman" w:hAnsi="Times New Roman" w:eastAsia="宋体" w:cs="Times New Roman"/>
          <w:kern w:val="0"/>
          <w:szCs w:val="22"/>
        </w:rPr>
        <w:t>《土壤环境质量农用地土壤污染风险管控标准（试行）》（GB36600-2018）中风险筛选值标准</w:t>
      </w:r>
      <w:r>
        <w:rPr>
          <w:rFonts w:hint="eastAsia" w:ascii="Times New Roman" w:hAnsi="Times New Roman" w:eastAsia="宋体" w:cs="Times New Roman"/>
          <w:kern w:val="0"/>
          <w:szCs w:val="22"/>
        </w:rPr>
        <w:t>。</w:t>
      </w:r>
    </w:p>
    <w:p>
      <w:pPr>
        <w:pStyle w:val="5"/>
        <w:rPr>
          <w:rFonts w:cs="Times New Roman"/>
        </w:rPr>
      </w:pPr>
      <w:r>
        <w:rPr>
          <w:rFonts w:cs="Times New Roman"/>
        </w:rPr>
        <w:t>5.1.1.3</w:t>
      </w:r>
      <w:r>
        <w:rPr>
          <w:rFonts w:hint="eastAsia" w:cs="Times New Roman"/>
        </w:rPr>
        <w:t>环境保护措施及主要环境影响</w:t>
      </w:r>
    </w:p>
    <w:p>
      <w:pPr>
        <w:autoSpaceDE w:val="0"/>
        <w:autoSpaceDN w:val="0"/>
        <w:spacing w:line="440" w:lineRule="exact"/>
        <w:ind w:firstLine="480" w:firstLineChars="200"/>
        <w:rPr>
          <w:rFonts w:ascii="Times New Roman" w:hAnsi="Times New Roman" w:eastAsia="宋体" w:cs="Times New Roman"/>
          <w:kern w:val="0"/>
        </w:rPr>
      </w:pPr>
      <w:bookmarkStart w:id="120" w:name="_Toc19699"/>
      <w:r>
        <w:rPr>
          <w:rFonts w:ascii="Times New Roman" w:hAnsi="Times New Roman" w:eastAsia="宋体" w:cs="Times New Roman"/>
          <w:kern w:val="0"/>
        </w:rPr>
        <w:t>（1）</w:t>
      </w:r>
      <w:bookmarkEnd w:id="120"/>
      <w:r>
        <w:rPr>
          <w:rFonts w:hint="eastAsia" w:ascii="Times New Roman" w:hAnsi="Times New Roman" w:eastAsia="宋体" w:cs="Times New Roman"/>
          <w:kern w:val="0"/>
        </w:rPr>
        <w:t>废水</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拟建项目运营期污废水主要包括猪尿、猪舍冲洗废水以及员工生活污水，污水产生量为9285.6m</w:t>
      </w:r>
      <w:r>
        <w:rPr>
          <w:rFonts w:ascii="Times New Roman" w:hAnsi="Times New Roman" w:eastAsia="宋体" w:cs="Times New Roman"/>
          <w:kern w:val="0"/>
          <w:vertAlign w:val="superscript"/>
        </w:rPr>
        <w:t>3</w:t>
      </w:r>
      <w:r>
        <w:rPr>
          <w:rFonts w:ascii="Times New Roman" w:hAnsi="Times New Roman" w:eastAsia="宋体" w:cs="Times New Roman"/>
          <w:kern w:val="0"/>
        </w:rPr>
        <w:t>/</w:t>
      </w:r>
      <w:r>
        <w:rPr>
          <w:rFonts w:hint="eastAsia" w:ascii="Times New Roman" w:hAnsi="Times New Roman" w:eastAsia="宋体" w:cs="Times New Roman"/>
          <w:kern w:val="0"/>
        </w:rPr>
        <w:t>a(折合</w:t>
      </w:r>
      <w:r>
        <w:rPr>
          <w:rFonts w:ascii="Times New Roman" w:hAnsi="Times New Roman" w:eastAsia="宋体" w:cs="Times New Roman"/>
          <w:kern w:val="0"/>
        </w:rPr>
        <w:t>25.44 m</w:t>
      </w:r>
      <w:r>
        <w:rPr>
          <w:rFonts w:ascii="Times New Roman" w:hAnsi="Times New Roman" w:eastAsia="宋体" w:cs="Times New Roman"/>
          <w:kern w:val="0"/>
          <w:vertAlign w:val="superscript"/>
        </w:rPr>
        <w:t>3</w:t>
      </w:r>
      <w:r>
        <w:rPr>
          <w:rFonts w:ascii="Times New Roman" w:hAnsi="Times New Roman" w:eastAsia="宋体" w:cs="Times New Roman"/>
          <w:kern w:val="0"/>
        </w:rPr>
        <w:t>/</w:t>
      </w:r>
      <w:r>
        <w:rPr>
          <w:rFonts w:hint="eastAsia" w:ascii="Times New Roman" w:hAnsi="Times New Roman" w:eastAsia="宋体" w:cs="Times New Roman"/>
          <w:kern w:val="0"/>
        </w:rPr>
        <w:t>d)</w:t>
      </w:r>
      <w:r>
        <w:rPr>
          <w:rFonts w:ascii="Times New Roman" w:hAnsi="Times New Roman" w:eastAsia="宋体" w:cs="Times New Roman"/>
          <w:kern w:val="0"/>
        </w:rPr>
        <w:t>，污废水有机物浓度高、悬浮物多、氨氮含量高、臭味大，污染物主要包括BOD</w:t>
      </w:r>
      <w:r>
        <w:rPr>
          <w:rFonts w:ascii="Times New Roman" w:hAnsi="Times New Roman" w:eastAsia="宋体" w:cs="Times New Roman"/>
          <w:kern w:val="0"/>
          <w:vertAlign w:val="subscript"/>
        </w:rPr>
        <w:t>5</w:t>
      </w:r>
      <w:r>
        <w:rPr>
          <w:rFonts w:ascii="Times New Roman" w:hAnsi="Times New Roman" w:eastAsia="宋体" w:cs="Times New Roman"/>
          <w:kern w:val="0"/>
        </w:rPr>
        <w:t>、COD、SS、氨氮、粪大肠菌群等，属于高浓度有机废水。</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拟建项目在场区内建设一座污水处理站，对污废水进行集中收集处理。设计处理能力为</w:t>
      </w:r>
      <w:r>
        <w:rPr>
          <w:rFonts w:hint="eastAsia" w:ascii="Times New Roman" w:hAnsi="Times New Roman" w:eastAsia="宋体" w:cs="Times New Roman"/>
          <w:kern w:val="0"/>
        </w:rPr>
        <w:t>4</w:t>
      </w:r>
      <w:r>
        <w:rPr>
          <w:rFonts w:ascii="Times New Roman" w:hAnsi="Times New Roman" w:eastAsia="宋体" w:cs="Times New Roman"/>
          <w:kern w:val="0"/>
        </w:rPr>
        <w:t>0m</w:t>
      </w:r>
      <w:r>
        <w:rPr>
          <w:rFonts w:ascii="Times New Roman" w:hAnsi="Times New Roman" w:eastAsia="宋体" w:cs="Times New Roman"/>
          <w:kern w:val="0"/>
          <w:vertAlign w:val="superscript"/>
        </w:rPr>
        <w:t>3</w:t>
      </w:r>
      <w:r>
        <w:rPr>
          <w:rFonts w:ascii="Times New Roman" w:hAnsi="Times New Roman" w:eastAsia="宋体" w:cs="Times New Roman"/>
          <w:kern w:val="0"/>
        </w:rPr>
        <w:t>/d，满足养殖场污废水的处理需求。采用</w:t>
      </w:r>
      <w:r>
        <w:rPr>
          <w:rFonts w:hint="eastAsia" w:ascii="Times New Roman" w:hAnsi="Times New Roman" w:eastAsia="宋体" w:cs="Times New Roman"/>
          <w:kern w:val="0"/>
        </w:rPr>
        <w:t>“固液分离+调节池+厌氧池”</w:t>
      </w:r>
      <w:r>
        <w:rPr>
          <w:rFonts w:ascii="Times New Roman" w:hAnsi="Times New Roman" w:eastAsia="宋体" w:cs="Times New Roman"/>
          <w:kern w:val="0"/>
        </w:rPr>
        <w:t>工艺处理，处理后的废水作为用于项目场区内和周边种植区的农田</w:t>
      </w:r>
      <w:r>
        <w:rPr>
          <w:rFonts w:hint="eastAsia" w:ascii="Times New Roman" w:hAnsi="Times New Roman" w:eastAsia="宋体" w:cs="Times New Roman"/>
          <w:kern w:val="0"/>
        </w:rPr>
        <w:t>施肥</w:t>
      </w:r>
      <w:r>
        <w:rPr>
          <w:rFonts w:ascii="Times New Roman" w:hAnsi="Times New Roman" w:eastAsia="宋体" w:cs="Times New Roman"/>
          <w:kern w:val="0"/>
        </w:rPr>
        <w:t>。采取上述措施后，拟建项目运营期对区域地表水环境影响小。</w:t>
      </w:r>
    </w:p>
    <w:p>
      <w:pPr>
        <w:autoSpaceDE w:val="0"/>
        <w:autoSpaceDN w:val="0"/>
        <w:spacing w:line="440" w:lineRule="exact"/>
        <w:ind w:firstLine="480" w:firstLineChars="200"/>
        <w:rPr>
          <w:rFonts w:ascii="Times New Roman" w:hAnsi="Times New Roman" w:eastAsia="宋体" w:cs="Times New Roman"/>
          <w:kern w:val="0"/>
        </w:rPr>
      </w:pPr>
      <w:bookmarkStart w:id="121" w:name="_Toc1949"/>
      <w:r>
        <w:rPr>
          <w:rFonts w:ascii="Times New Roman" w:hAnsi="Times New Roman" w:eastAsia="宋体" w:cs="Times New Roman"/>
          <w:kern w:val="0"/>
        </w:rPr>
        <w:t>（2）</w:t>
      </w:r>
      <w:bookmarkEnd w:id="121"/>
      <w:r>
        <w:rPr>
          <w:rFonts w:hint="eastAsia" w:ascii="Times New Roman" w:hAnsi="Times New Roman" w:eastAsia="宋体" w:cs="Times New Roman"/>
          <w:kern w:val="0"/>
        </w:rPr>
        <w:t>废气</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运营期主要大气污染源为猪舍和粪污处理区等产生的恶臭气体</w:t>
      </w:r>
      <w:r>
        <w:rPr>
          <w:rFonts w:hint="eastAsia" w:ascii="Times New Roman" w:hAnsi="Times New Roman" w:eastAsia="宋体" w:cs="Times New Roman"/>
          <w:kern w:val="0"/>
        </w:rPr>
        <w:t>、食堂油烟、柴油发电机尾气。</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使用优化配比饲料、粪污</w:t>
      </w:r>
      <w:r>
        <w:rPr>
          <w:rFonts w:hint="eastAsia" w:ascii="Times New Roman" w:hAnsi="Times New Roman" w:eastAsia="宋体" w:cs="Times New Roman"/>
          <w:kern w:val="0"/>
        </w:rPr>
        <w:t>日</w:t>
      </w:r>
      <w:r>
        <w:rPr>
          <w:rFonts w:ascii="Times New Roman" w:hAnsi="Times New Roman" w:eastAsia="宋体" w:cs="Times New Roman"/>
          <w:kern w:val="0"/>
        </w:rPr>
        <w:t>产</w:t>
      </w:r>
      <w:r>
        <w:rPr>
          <w:rFonts w:hint="eastAsia" w:ascii="Times New Roman" w:hAnsi="Times New Roman" w:eastAsia="宋体" w:cs="Times New Roman"/>
          <w:kern w:val="0"/>
        </w:rPr>
        <w:t>日</w:t>
      </w:r>
      <w:r>
        <w:rPr>
          <w:rFonts w:ascii="Times New Roman" w:hAnsi="Times New Roman" w:eastAsia="宋体" w:cs="Times New Roman"/>
          <w:kern w:val="0"/>
        </w:rPr>
        <w:t>清，加强通风、强化猪舍消毒措施、加强绿化</w:t>
      </w:r>
      <w:r>
        <w:rPr>
          <w:rFonts w:hint="eastAsia" w:ascii="Times New Roman" w:hAnsi="Times New Roman" w:eastAsia="宋体" w:cs="Times New Roman"/>
          <w:kern w:val="0"/>
        </w:rPr>
        <w:t>；</w:t>
      </w:r>
      <w:r>
        <w:rPr>
          <w:rFonts w:ascii="Times New Roman" w:hAnsi="Times New Roman" w:eastAsia="宋体" w:cs="Times New Roman"/>
          <w:kern w:val="0"/>
        </w:rPr>
        <w:t>采取干清粪养殖工艺；对猪舍、</w:t>
      </w:r>
      <w:r>
        <w:rPr>
          <w:rFonts w:hint="eastAsia" w:ascii="Times New Roman" w:hAnsi="Times New Roman" w:eastAsia="宋体" w:cs="Times New Roman"/>
          <w:kern w:val="0"/>
        </w:rPr>
        <w:t>污水处理站、猪粪暂存池周围</w:t>
      </w:r>
      <w:r>
        <w:rPr>
          <w:rFonts w:ascii="Times New Roman" w:hAnsi="Times New Roman" w:eastAsia="宋体" w:cs="Times New Roman"/>
          <w:kern w:val="0"/>
        </w:rPr>
        <w:t>，喷洒生物除臭剂进行除臭</w:t>
      </w:r>
      <w:r>
        <w:rPr>
          <w:rFonts w:hint="eastAsia" w:ascii="Times New Roman" w:hAnsi="Times New Roman" w:eastAsia="宋体" w:cs="Times New Roman"/>
          <w:kern w:val="0"/>
        </w:rPr>
        <w:t>；在猪舍风机出风处设置喷雾式水帘除臭</w:t>
      </w:r>
      <w:r>
        <w:rPr>
          <w:rFonts w:ascii="Times New Roman" w:hAnsi="Times New Roman" w:eastAsia="宋体" w:cs="Times New Roman"/>
          <w:kern w:val="0"/>
        </w:rPr>
        <w:t>。</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食堂油烟经油烟罩收集，经油烟净化设备处理后引至食堂屋顶排放。柴油发电机废气引至机房屋顶排放。</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本项目以猪舍、粪污处理系统等产臭单元周边200m内作为环境防护距离控制范围，项目200m范围内现有</w:t>
      </w:r>
      <w:r>
        <w:rPr>
          <w:rFonts w:hint="eastAsia" w:ascii="Times New Roman" w:hAnsi="Times New Roman" w:eastAsia="宋体" w:cs="Times New Roman"/>
          <w:kern w:val="0"/>
        </w:rPr>
        <w:t>12</w:t>
      </w:r>
      <w:r>
        <w:rPr>
          <w:rFonts w:ascii="Times New Roman" w:hAnsi="Times New Roman" w:eastAsia="宋体" w:cs="Times New Roman"/>
          <w:kern w:val="0"/>
        </w:rPr>
        <w:t>户零散居民，评价要求项目</w:t>
      </w:r>
      <w:r>
        <w:rPr>
          <w:rFonts w:hint="eastAsia" w:ascii="Times New Roman" w:hAnsi="Times New Roman" w:eastAsia="宋体" w:cs="Times New Roman"/>
          <w:kern w:val="0"/>
        </w:rPr>
        <w:t>投产前</w:t>
      </w:r>
      <w:r>
        <w:rPr>
          <w:rFonts w:ascii="Times New Roman" w:hAnsi="Times New Roman" w:eastAsia="宋体" w:cs="Times New Roman"/>
          <w:kern w:val="0"/>
        </w:rPr>
        <w:t>完成功能置换。200m范围内不得有居民点、医院、学校等环境保护目标。</w:t>
      </w:r>
    </w:p>
    <w:p>
      <w:pPr>
        <w:autoSpaceDE w:val="0"/>
        <w:autoSpaceDN w:val="0"/>
        <w:spacing w:line="440" w:lineRule="exact"/>
        <w:ind w:firstLine="480" w:firstLineChars="200"/>
        <w:rPr>
          <w:rFonts w:ascii="Times New Roman" w:hAnsi="Times New Roman" w:eastAsia="宋体" w:cs="Times New Roman"/>
          <w:kern w:val="0"/>
        </w:rPr>
      </w:pPr>
      <w:bookmarkStart w:id="122" w:name="_Toc11248"/>
      <w:r>
        <w:rPr>
          <w:rFonts w:ascii="Times New Roman" w:hAnsi="Times New Roman" w:eastAsia="宋体" w:cs="Times New Roman"/>
          <w:kern w:val="0"/>
        </w:rPr>
        <w:t>（3）噪声</w:t>
      </w:r>
      <w:bookmarkEnd w:id="122"/>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噪声主要为猪舍中的猪只叫声、水泵和风机等运行噪声，噪声源强在85dB（A）以内。项目运营期应加强猪舍管理，避免猪只发生饥饿及受到惊吓；减少外界噪声等对猪舍的干扰，避免因惊吓而产生不安，使猪只保持安定平和的气氛，以缓解猪只的不安情绪。选用低噪声排气扇和水帘配套风机。选用低噪水泵设备，并将水泵安装于水面以下。同时加强场区绿化，在场界周边种植高大的乔木，以保证项目各厂界达到《工业企业厂界环境噪声排放标准》（GB12348-2008）2类标准，并避免噪声扰民。</w:t>
      </w:r>
    </w:p>
    <w:p>
      <w:pPr>
        <w:autoSpaceDE w:val="0"/>
        <w:autoSpaceDN w:val="0"/>
        <w:spacing w:line="440" w:lineRule="exact"/>
        <w:ind w:firstLine="480" w:firstLineChars="200"/>
        <w:rPr>
          <w:rFonts w:ascii="Times New Roman" w:hAnsi="Times New Roman" w:eastAsia="宋体" w:cs="Times New Roman"/>
          <w:kern w:val="0"/>
        </w:rPr>
      </w:pPr>
      <w:bookmarkStart w:id="123" w:name="_Toc28600"/>
      <w:r>
        <w:rPr>
          <w:rFonts w:ascii="Times New Roman" w:hAnsi="Times New Roman" w:eastAsia="宋体" w:cs="Times New Roman"/>
          <w:kern w:val="0"/>
        </w:rPr>
        <w:t>（4）固体废物</w:t>
      </w:r>
      <w:bookmarkEnd w:id="123"/>
    </w:p>
    <w:p>
      <w:pPr>
        <w:widowControl/>
        <w:spacing w:line="360" w:lineRule="auto"/>
        <w:ind w:firstLine="480" w:firstLineChars="200"/>
        <w:jc w:val="left"/>
        <w:rPr>
          <w:rFonts w:ascii="Times New Roman" w:hAnsi="Times New Roman" w:eastAsia="宋体" w:cs="Times New Roman"/>
          <w:kern w:val="0"/>
        </w:rPr>
      </w:pPr>
      <w:bookmarkStart w:id="124" w:name="12.1.6_污染物排放总量控制"/>
      <w:bookmarkEnd w:id="124"/>
      <w:r>
        <w:rPr>
          <w:rFonts w:ascii="Times New Roman" w:hAnsi="Times New Roman" w:eastAsia="宋体" w:cs="Times New Roman"/>
          <w:kern w:val="0"/>
        </w:rPr>
        <w:t>拟建项目固体废物主要包括猪粪、沼渣、病死猪、废弃脱硫剂、医疗废物、生活垃圾。项目</w:t>
      </w:r>
      <w:r>
        <w:rPr>
          <w:rFonts w:hint="eastAsia" w:ascii="Times New Roman" w:hAnsi="Times New Roman" w:eastAsia="宋体" w:cs="Times New Roman"/>
        </w:rPr>
        <w:t>猪粪、沼渣及粪渣委托给重庆合川区旭樾飞生物科技有限公司处理，用于制作有机肥</w:t>
      </w:r>
      <w:r>
        <w:rPr>
          <w:rFonts w:ascii="Times New Roman" w:hAnsi="Times New Roman" w:eastAsia="宋体" w:cs="Times New Roman"/>
          <w:kern w:val="0"/>
        </w:rPr>
        <w:t>；</w:t>
      </w:r>
      <w:r>
        <w:rPr>
          <w:rFonts w:hint="eastAsia" w:ascii="Times New Roman" w:hAnsi="Times New Roman" w:eastAsia="宋体" w:cs="Times New Roman"/>
          <w:kern w:val="0"/>
        </w:rPr>
        <w:t>病死猪及胎盘近期进行安全填埋，远期合川病死畜禽集中无害化处理项目建成后，交合川区动物无害化处理场进行集中处置</w:t>
      </w:r>
      <w:r>
        <w:rPr>
          <w:rFonts w:ascii="Times New Roman" w:hAnsi="Times New Roman" w:eastAsia="宋体" w:cs="Times New Roman"/>
          <w:kern w:val="0"/>
        </w:rPr>
        <w:t>；废弃脱硫剂交由厂家回收处理；少量医疗废物收集后交由有相应处理资质的单位处置；生活垃圾分类收集后由乡镇环卫收集处理。经以上措施后，拟建项目各类固体废物有稳定去向，可得到妥善处置，对环境影响较小。</w:t>
      </w:r>
    </w:p>
    <w:p>
      <w:pPr>
        <w:autoSpaceDE w:val="0"/>
        <w:autoSpaceDN w:val="0"/>
        <w:spacing w:line="440" w:lineRule="exact"/>
        <w:ind w:firstLine="480" w:firstLineChars="200"/>
        <w:rPr>
          <w:rFonts w:ascii="Times New Roman" w:hAnsi="Times New Roman" w:eastAsia="宋体" w:cs="Times New Roman"/>
          <w:kern w:val="0"/>
        </w:rPr>
      </w:pPr>
      <w:bookmarkStart w:id="125" w:name="_Toc18700"/>
      <w:r>
        <w:rPr>
          <w:rFonts w:ascii="Times New Roman" w:hAnsi="Times New Roman" w:eastAsia="宋体" w:cs="Times New Roman"/>
          <w:kern w:val="0"/>
        </w:rPr>
        <w:t>（5）地下水</w:t>
      </w:r>
      <w:bookmarkEnd w:id="125"/>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szCs w:val="22"/>
        </w:rPr>
        <w:t>项目可能涉及地下水污染的设施及区域主要为猪舍、危废暂存间、废水收集沟、废水处理站、</w:t>
      </w:r>
      <w:r>
        <w:rPr>
          <w:rFonts w:hint="eastAsia" w:ascii="Times New Roman" w:hAnsi="Times New Roman" w:eastAsia="宋体" w:cs="Times New Roman"/>
          <w:kern w:val="0"/>
          <w:szCs w:val="22"/>
        </w:rPr>
        <w:t>猪粪暂存池</w:t>
      </w:r>
      <w:r>
        <w:rPr>
          <w:rFonts w:ascii="Times New Roman" w:hAnsi="Times New Roman" w:eastAsia="宋体" w:cs="Times New Roman"/>
          <w:kern w:val="0"/>
          <w:szCs w:val="22"/>
        </w:rPr>
        <w:t>等。企业采取了分区防渗措施，针对上述区域，企业将进行重点管控，杜绝生产线跑冒滴漏及污水管网破损等情况发生。同时利用养殖区北侧水井，跟踪监测地下水下游水质情况，根据环保部门的相关要求，定期对地下水环境质量进行监测。在采取上述有效的污染防治措施后，项目建设对地下水环境影响较小，环境影响可接受。</w:t>
      </w:r>
    </w:p>
    <w:p>
      <w:pPr>
        <w:autoSpaceDE w:val="0"/>
        <w:autoSpaceDN w:val="0"/>
        <w:spacing w:line="440" w:lineRule="exact"/>
        <w:ind w:firstLine="480" w:firstLineChars="200"/>
        <w:rPr>
          <w:rFonts w:ascii="Times New Roman" w:hAnsi="Times New Roman" w:eastAsia="宋体" w:cs="Times New Roman"/>
          <w:kern w:val="0"/>
        </w:rPr>
      </w:pPr>
      <w:bookmarkStart w:id="126" w:name="_Toc27193"/>
      <w:r>
        <w:rPr>
          <w:rFonts w:ascii="Times New Roman" w:hAnsi="Times New Roman" w:eastAsia="宋体" w:cs="Times New Roman"/>
          <w:kern w:val="0"/>
        </w:rPr>
        <w:t>（6）土壤</w:t>
      </w:r>
      <w:bookmarkEnd w:id="126"/>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本项目运营期对土壤的环境影响途径主要为废水的垂直入渗，主要采取措施为：对猪舍、废水收集沟、废水处理站等采取防渗混凝土，并加强各处理构筑物及厂内废水收集沟的日常巡查，避免污水事故泄露；企业建立土壤和地下水污染隐患排查治理制度，定期开展隐患排查，发现污染隐患的，应当制定整改方案，及时采取措施消除隐患。经上述措施后，土壤环境影响在可接受的范围内。</w:t>
      </w:r>
    </w:p>
    <w:p>
      <w:pPr>
        <w:autoSpaceDE w:val="0"/>
        <w:autoSpaceDN w:val="0"/>
        <w:spacing w:line="440" w:lineRule="exact"/>
        <w:ind w:firstLine="480" w:firstLineChars="200"/>
        <w:rPr>
          <w:rFonts w:ascii="Times New Roman" w:hAnsi="Times New Roman" w:eastAsia="宋体" w:cs="Times New Roman"/>
          <w:kern w:val="0"/>
        </w:rPr>
      </w:pPr>
      <w:bookmarkStart w:id="127" w:name="_Toc28072"/>
      <w:r>
        <w:rPr>
          <w:rFonts w:ascii="Times New Roman" w:hAnsi="Times New Roman" w:eastAsia="宋体" w:cs="Times New Roman"/>
          <w:kern w:val="0"/>
        </w:rPr>
        <w:t>（7）环境风险</w:t>
      </w:r>
      <w:bookmarkEnd w:id="127"/>
    </w:p>
    <w:p>
      <w:pPr>
        <w:pStyle w:val="65"/>
        <w:ind w:firstLine="480"/>
        <w:rPr>
          <w:rFonts w:ascii="Times New Roman" w:hAnsi="Times New Roman" w:cs="Times New Roman"/>
        </w:rPr>
      </w:pPr>
      <w:r>
        <w:rPr>
          <w:rFonts w:ascii="Times New Roman" w:hAnsi="Times New Roman" w:eastAsia="宋体" w:cs="Times New Roman"/>
          <w:kern w:val="0"/>
        </w:rPr>
        <w:t>企业的环境风险物质较少，主要为沼气、柴油、过氧乙酸、次氯酸钠。针对环境风险源采取了有效的防范措施，在采取本报告提出的环境风险管理及防范措施后，项目环境风险可防可控。</w:t>
      </w:r>
    </w:p>
    <w:p>
      <w:pPr>
        <w:pStyle w:val="5"/>
        <w:rPr>
          <w:rFonts w:cs="Times New Roman"/>
        </w:rPr>
      </w:pPr>
      <w:r>
        <w:rPr>
          <w:rFonts w:cs="Times New Roman"/>
        </w:rPr>
        <w:t>5.1.1.4环</w:t>
      </w:r>
      <w:r>
        <w:rPr>
          <w:rFonts w:hint="eastAsia" w:cs="Times New Roman"/>
        </w:rPr>
        <w:t>境管理与监测计划</w:t>
      </w:r>
    </w:p>
    <w:p>
      <w:pPr>
        <w:autoSpaceDE w:val="0"/>
        <w:autoSpaceDN w:val="0"/>
        <w:spacing w:line="440" w:lineRule="exact"/>
        <w:ind w:firstLine="480" w:firstLineChars="200"/>
        <w:rPr>
          <w:rFonts w:ascii="Times New Roman" w:hAnsi="Times New Roman" w:eastAsia="宋体" w:cs="Times New Roman"/>
          <w:kern w:val="0"/>
        </w:rPr>
      </w:pPr>
      <w:bookmarkStart w:id="128" w:name="_Toc20950"/>
      <w:r>
        <w:rPr>
          <w:rFonts w:ascii="Times New Roman" w:hAnsi="Times New Roman" w:eastAsia="宋体" w:cs="Times New Roman"/>
          <w:kern w:val="0"/>
        </w:rPr>
        <w:t>1.环境管理与监测</w:t>
      </w:r>
      <w:bookmarkEnd w:id="128"/>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项目应设有兼职环保管理人员，建立健全环境保护工作规章制度和体系。并设置监测计划。具体职责如下：</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（1）从工程建设全过程制定环境管理计划，明确环境管理机构、环境监督机构的职责；</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（2）强化粪污处理系统的运行维护管理；</w:t>
      </w:r>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（3）定期委托具有监测资质的单位对项目的噪声、废气进行监测。</w:t>
      </w:r>
    </w:p>
    <w:p>
      <w:pPr>
        <w:autoSpaceDE w:val="0"/>
        <w:autoSpaceDN w:val="0"/>
        <w:spacing w:line="440" w:lineRule="exact"/>
        <w:ind w:firstLine="480" w:firstLineChars="200"/>
        <w:rPr>
          <w:rFonts w:ascii="Times New Roman" w:hAnsi="Times New Roman" w:eastAsia="宋体" w:cs="Times New Roman"/>
          <w:kern w:val="0"/>
        </w:rPr>
      </w:pPr>
      <w:bookmarkStart w:id="129" w:name="_Toc9526"/>
      <w:r>
        <w:rPr>
          <w:rFonts w:ascii="Times New Roman" w:hAnsi="Times New Roman" w:eastAsia="宋体" w:cs="Times New Roman"/>
          <w:kern w:val="0"/>
        </w:rPr>
        <w:t>2.竣工验收</w:t>
      </w:r>
      <w:bookmarkEnd w:id="129"/>
    </w:p>
    <w:p>
      <w:pPr>
        <w:autoSpaceDE w:val="0"/>
        <w:autoSpaceDN w:val="0"/>
        <w:spacing w:line="440" w:lineRule="exact"/>
        <w:ind w:firstLine="480" w:firstLineChars="200"/>
        <w:rPr>
          <w:rFonts w:ascii="Times New Roman" w:hAnsi="Times New Roman" w:eastAsia="宋体" w:cs="Times New Roman"/>
          <w:kern w:val="0"/>
        </w:rPr>
      </w:pPr>
      <w:r>
        <w:rPr>
          <w:rFonts w:ascii="Times New Roman" w:hAnsi="Times New Roman" w:eastAsia="宋体" w:cs="Times New Roman"/>
          <w:kern w:val="0"/>
        </w:rPr>
        <w:t>工程建成投产后，建设单位应按照国家和重庆市《建设项目竣工环境保护验收管理办法》中的有关规定，及时开展自主竣工环保验收。</w:t>
      </w:r>
    </w:p>
    <w:p>
      <w:pPr>
        <w:pStyle w:val="5"/>
        <w:rPr>
          <w:rFonts w:cs="Times New Roman"/>
        </w:rPr>
      </w:pPr>
      <w:r>
        <w:rPr>
          <w:rFonts w:cs="Times New Roman"/>
        </w:rPr>
        <w:t>5.1.1.5综合结论</w:t>
      </w:r>
    </w:p>
    <w:p>
      <w:pPr>
        <w:autoSpaceDE w:val="0"/>
        <w:autoSpaceDN w:val="0"/>
        <w:spacing w:line="440" w:lineRule="exact"/>
        <w:ind w:firstLine="480" w:firstLineChars="200"/>
        <w:rPr>
          <w:rFonts w:ascii="Times New Roman" w:hAnsi="Times New Roman" w:cs="Times New Roman"/>
          <w:kern w:val="0"/>
        </w:rPr>
      </w:pPr>
      <w:r>
        <w:rPr>
          <w:rFonts w:ascii="Times New Roman" w:hAnsi="Times New Roman" w:eastAsia="宋体" w:cs="Times New Roman"/>
          <w:kern w:val="0"/>
        </w:rPr>
        <w:t>巴渝土杂猪养殖项目符合产业政策和相关规划，满足循环经济和清洁生产要求。项目采用成熟的生产工艺设备，实现污染全过程控制。各类污染源和污染物采取严格有效的治理措施后，可达标排放，并对废物进行了资源化利用。工程建成后对环境的影响较小，不会改变环境功能区划要求。因此，从环境保护角度，拟建项目建设可行。</w:t>
      </w:r>
    </w:p>
    <w:p>
      <w:pPr>
        <w:pStyle w:val="5"/>
        <w:rPr>
          <w:rFonts w:cs="Times New Roman"/>
        </w:rPr>
      </w:pPr>
      <w:r>
        <w:rPr>
          <w:rFonts w:cs="Times New Roman"/>
        </w:rPr>
        <w:t>5.1.2建议</w:t>
      </w:r>
    </w:p>
    <w:p>
      <w:pPr>
        <w:spacing w:line="360" w:lineRule="auto"/>
        <w:ind w:firstLine="480" w:firstLineChars="200"/>
        <w:rPr>
          <w:rFonts w:ascii="Times New Roman" w:hAnsi="Times New Roman" w:eastAsia="宋体" w:cs="Times New Roman"/>
        </w:rPr>
      </w:pPr>
      <w:r>
        <w:rPr>
          <w:rFonts w:hint="eastAsia" w:cs="Times New Roman"/>
          <w:color w:val="000000" w:themeColor="text1"/>
          <w14:textFill>
            <w14:solidFill>
              <w14:schemeClr w14:val="tx1"/>
            </w14:solidFill>
          </w14:textFill>
        </w:rPr>
        <w:t>认真落实环保“三同时”，加强施工期和运营期的环保管理，设专人负责环保设施的管理，确保治理设施的正常运转和污染物的达标排放。</w:t>
      </w:r>
    </w:p>
    <w:p>
      <w:pPr>
        <w:pStyle w:val="3"/>
        <w:rPr>
          <w:rFonts w:cs="Times New Roman"/>
          <w:szCs w:val="28"/>
        </w:rPr>
      </w:pPr>
      <w:bookmarkStart w:id="130" w:name="_Toc6551"/>
      <w:bookmarkStart w:id="131" w:name="_Toc8410"/>
      <w:bookmarkStart w:id="132" w:name="_Toc497987780"/>
      <w:bookmarkStart w:id="133" w:name="_Toc497926010"/>
      <w:bookmarkStart w:id="134" w:name="_Toc497987618"/>
      <w:bookmarkStart w:id="135" w:name="_Toc497988061"/>
      <w:bookmarkStart w:id="136" w:name="_Toc102039302"/>
      <w:r>
        <w:rPr>
          <w:rFonts w:cs="Times New Roman"/>
          <w:szCs w:val="28"/>
        </w:rPr>
        <w:t>5.2审批部门审批决定</w:t>
      </w:r>
      <w:bookmarkEnd w:id="130"/>
      <w:bookmarkEnd w:id="131"/>
      <w:bookmarkEnd w:id="132"/>
      <w:bookmarkEnd w:id="133"/>
      <w:bookmarkEnd w:id="134"/>
      <w:bookmarkEnd w:id="135"/>
      <w:r>
        <w:rPr>
          <w:rFonts w:cs="Times New Roman"/>
          <w:szCs w:val="28"/>
        </w:rPr>
        <w:t>（摘录）</w:t>
      </w:r>
      <w:bookmarkEnd w:id="136"/>
    </w:p>
    <w:p>
      <w:pPr>
        <w:spacing w:line="360" w:lineRule="auto"/>
        <w:rPr>
          <w:rFonts w:hint="default" w:ascii="Times New Roman" w:hAnsi="Times New Roman" w:cs="Times New Roman"/>
        </w:rPr>
      </w:pPr>
      <w:r>
        <w:rPr>
          <w:rFonts w:hint="default" w:ascii="Times New Roman" w:hAnsi="Times New Roman" w:cs="Times New Roman"/>
        </w:rPr>
        <w:t>合川区尹发家庭农场:</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rPr>
        <w:t>你单位</w:t>
      </w:r>
      <w:r>
        <w:rPr>
          <w:rFonts w:hint="default" w:ascii="Times New Roman" w:hAnsi="Times New Roman" w:cs="Times New Roman"/>
          <w:color w:val="000000" w:themeColor="text1"/>
          <w14:textFill>
            <w14:solidFill>
              <w14:schemeClr w14:val="tx1"/>
            </w14:solidFill>
          </w14:textFill>
        </w:rPr>
        <w:t>报送的合川区尹发家庭农场巴渝土杂猪养殖项目(项目代码:2101-500117-04-05-449850）环评文件及相关报批申请材料收悉,经审查，符合我市建设项目环境影响评价文件告知承诺审批的相关要求。根据重庆华地资环科技有限公司(统一社会信用代码:915001037094724430）编制的《合川区尹发家庭农场巴渝土杂猪养殖项目环境影响报告书》对该项目开展环境影响评价的结论,在全面落实报告书提出的各项防治生态影响和环境污染措施、防范环境风险措施和你单位承诺的前提下，工程建设对环境的不利影响能够得到缓解和控制。我局原则同意该项目环境影响报告书结论以及拟采取的环境保护措施。</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你单位应当严格落实该项目环境影响报告书提出的防治生态影响和环境污染措施及防范环境风险措施,严格执行配套建设的环保设施与主体工程同时设计、同时施工、同时投产的环保“三同时”制度。项目竣工后，应按照相关规定开展环境保护验收。经验收合格后，项目方可正式投入生产或使用。</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的性质、规模、地点、采用的生产工艺或者防治污染措施发生重大变动的,你单位应当重新报批该项目的环境影响评价文件。项目的日常监督管理由重庆市合川区生态环境保护综合行政执法支队按照有关职责实施,发现存在不符合告知承诺制或环评文件存在重大质量问题，依法撤销审批决定，造成的一切法律后果和经济损失均由你单位承担。</w:t>
      </w:r>
    </w:p>
    <w:p>
      <w:pPr>
        <w:pStyle w:val="2"/>
        <w:rPr>
          <w:rFonts w:cs="Times New Roman"/>
        </w:rPr>
      </w:pPr>
      <w:bookmarkStart w:id="137" w:name="_Toc497987619"/>
      <w:bookmarkStart w:id="138" w:name="_Toc497987781"/>
      <w:bookmarkStart w:id="139" w:name="_Toc497926011"/>
      <w:bookmarkStart w:id="140" w:name="_Toc497988062"/>
      <w:r>
        <w:rPr>
          <w:rFonts w:cs="Times New Roman"/>
        </w:rPr>
        <w:br w:type="page"/>
      </w:r>
      <w:bookmarkStart w:id="141" w:name="_Toc20530"/>
      <w:bookmarkStart w:id="142" w:name="_Toc25347"/>
      <w:bookmarkStart w:id="143" w:name="_Toc102039303"/>
      <w:r>
        <w:rPr>
          <w:rFonts w:cs="Times New Roman"/>
        </w:rPr>
        <w:t>6 验收执行标准</w:t>
      </w:r>
      <w:bookmarkEnd w:id="137"/>
      <w:bookmarkEnd w:id="138"/>
      <w:bookmarkEnd w:id="139"/>
      <w:bookmarkEnd w:id="140"/>
      <w:bookmarkEnd w:id="141"/>
      <w:bookmarkEnd w:id="142"/>
      <w:bookmarkEnd w:id="143"/>
    </w:p>
    <w:p>
      <w:pPr>
        <w:pStyle w:val="3"/>
        <w:rPr>
          <w:rFonts w:cs="Times New Roman"/>
        </w:rPr>
      </w:pPr>
      <w:bookmarkStart w:id="144" w:name="_Toc23697"/>
      <w:bookmarkStart w:id="145" w:name="_Toc2927"/>
      <w:bookmarkStart w:id="146" w:name="_Toc102039304"/>
      <w:bookmarkStart w:id="147" w:name="_Toc497987782"/>
      <w:bookmarkStart w:id="148" w:name="_Toc497926012"/>
      <w:bookmarkStart w:id="149" w:name="_Toc497988063"/>
      <w:bookmarkStart w:id="150" w:name="_Toc497987620"/>
      <w:r>
        <w:rPr>
          <w:rFonts w:cs="Times New Roman"/>
        </w:rPr>
        <w:t>6.1废水排放执行标准</w:t>
      </w:r>
      <w:bookmarkEnd w:id="144"/>
      <w:bookmarkEnd w:id="145"/>
      <w:bookmarkEnd w:id="146"/>
    </w:p>
    <w:p>
      <w:pPr>
        <w:spacing w:line="360" w:lineRule="auto"/>
        <w:ind w:firstLine="480" w:firstLineChars="200"/>
        <w:rPr>
          <w:rFonts w:ascii="Times New Roman" w:hAnsi="Times New Roman" w:eastAsia="宋体" w:cs="Times New Roman"/>
        </w:rPr>
      </w:pPr>
      <w:bookmarkStart w:id="151" w:name="_Toc16611"/>
      <w:bookmarkStart w:id="152" w:name="_Toc4893"/>
      <w:r>
        <w:rPr>
          <w:rFonts w:ascii="Times New Roman" w:hAnsi="Times New Roman" w:eastAsia="宋体" w:cs="Times New Roman"/>
        </w:rPr>
        <w:t>运营期污废水主要为猪尿、猪舍冲洗废水及职工生活污水，</w:t>
      </w:r>
      <w:r>
        <w:rPr>
          <w:rFonts w:hint="eastAsia" w:ascii="Times New Roman" w:hAnsi="Times New Roman" w:eastAsia="宋体" w:cs="Times New Roman"/>
        </w:rPr>
        <w:t>拟建</w:t>
      </w:r>
      <w:r>
        <w:rPr>
          <w:rFonts w:ascii="Times New Roman" w:hAnsi="Times New Roman" w:eastAsia="宋体" w:cs="Times New Roman"/>
        </w:rPr>
        <w:t>项目粪污日产日清，采用干清粪工艺，干清粪比例达70%，</w:t>
      </w:r>
      <w:r>
        <w:rPr>
          <w:rFonts w:hint="eastAsia" w:ascii="Times New Roman" w:hAnsi="Times New Roman" w:eastAsia="宋体" w:cs="Times New Roman"/>
        </w:rPr>
        <w:t>拟建</w:t>
      </w:r>
      <w:r>
        <w:rPr>
          <w:rFonts w:ascii="Times New Roman" w:hAnsi="Times New Roman" w:eastAsia="宋体" w:cs="Times New Roman"/>
        </w:rPr>
        <w:t>项目</w:t>
      </w:r>
      <w:r>
        <w:rPr>
          <w:rFonts w:hint="eastAsia" w:ascii="Times New Roman" w:hAnsi="Times New Roman" w:eastAsia="宋体" w:cs="Times New Roman"/>
        </w:rPr>
        <w:t>食堂废水经隔油池处理后与其他生活污水、</w:t>
      </w:r>
      <w:r>
        <w:rPr>
          <w:rFonts w:ascii="Times New Roman" w:hAnsi="Times New Roman" w:eastAsia="宋体" w:cs="Times New Roman"/>
        </w:rPr>
        <w:t>养殖废水</w:t>
      </w:r>
      <w:r>
        <w:rPr>
          <w:rFonts w:hint="eastAsia" w:ascii="Times New Roman" w:hAnsi="Times New Roman" w:eastAsia="宋体" w:cs="Times New Roman"/>
        </w:rPr>
        <w:t>经污水处理站处理后沼液用于还田，不外排</w:t>
      </w:r>
      <w:r>
        <w:rPr>
          <w:rFonts w:ascii="Times New Roman" w:hAnsi="Times New Roman" w:eastAsia="宋体" w:cs="Times New Roman"/>
        </w:rPr>
        <w:t>。</w:t>
      </w:r>
    </w:p>
    <w:p>
      <w:pPr>
        <w:pStyle w:val="3"/>
        <w:rPr>
          <w:rFonts w:cs="Times New Roman"/>
        </w:rPr>
      </w:pPr>
      <w:bookmarkStart w:id="153" w:name="_Toc102039305"/>
      <w:r>
        <w:rPr>
          <w:rFonts w:cs="Times New Roman"/>
        </w:rPr>
        <w:t>6.2废气排放执行标准</w:t>
      </w:r>
      <w:bookmarkEnd w:id="151"/>
      <w:bookmarkEnd w:id="152"/>
      <w:bookmarkEnd w:id="153"/>
    </w:p>
    <w:bookmarkEnd w:id="147"/>
    <w:bookmarkEnd w:id="148"/>
    <w:bookmarkEnd w:id="149"/>
    <w:bookmarkEnd w:id="150"/>
    <w:p>
      <w:pPr>
        <w:spacing w:line="360" w:lineRule="auto"/>
        <w:ind w:firstLine="600" w:firstLineChars="250"/>
        <w:rPr>
          <w:rFonts w:ascii="Times New Roman" w:hAnsi="Times New Roman" w:eastAsia="宋体" w:cs="Times New Roman"/>
        </w:rPr>
      </w:pPr>
      <w:bookmarkStart w:id="154" w:name="_Toc497987783"/>
      <w:bookmarkStart w:id="155" w:name="_Toc497988064"/>
      <w:bookmarkStart w:id="156" w:name="_Toc20562"/>
      <w:bookmarkStart w:id="157" w:name="_Toc497987621"/>
      <w:bookmarkStart w:id="158" w:name="_Toc27052"/>
      <w:bookmarkStart w:id="159" w:name="_Toc497926013"/>
      <w:r>
        <w:rPr>
          <w:rFonts w:hint="eastAsia" w:ascii="Times New Roman" w:hAnsi="Times New Roman" w:eastAsia="宋体" w:cs="Times New Roman"/>
        </w:rPr>
        <w:t>拟建</w:t>
      </w:r>
      <w:r>
        <w:rPr>
          <w:rFonts w:ascii="Times New Roman" w:hAnsi="Times New Roman" w:eastAsia="宋体" w:cs="Times New Roman"/>
        </w:rPr>
        <w:t>项目运营期排放的恶臭气体主要来自于养殖区、</w:t>
      </w:r>
      <w:r>
        <w:rPr>
          <w:rFonts w:hint="eastAsia" w:ascii="Times New Roman" w:hAnsi="Times New Roman" w:eastAsia="宋体" w:cs="Times New Roman"/>
        </w:rPr>
        <w:t>猪粪暂存池</w:t>
      </w:r>
      <w:r>
        <w:rPr>
          <w:rFonts w:ascii="Times New Roman" w:hAnsi="Times New Roman" w:eastAsia="宋体" w:cs="Times New Roman"/>
        </w:rPr>
        <w:t>及</w:t>
      </w:r>
      <w:r>
        <w:rPr>
          <w:rFonts w:hint="eastAsia" w:ascii="Times New Roman" w:hAnsi="Times New Roman" w:eastAsia="宋体" w:cs="Times New Roman"/>
        </w:rPr>
        <w:t>污水处理站</w:t>
      </w:r>
      <w:r>
        <w:rPr>
          <w:rFonts w:ascii="Times New Roman" w:hAnsi="Times New Roman" w:eastAsia="宋体" w:cs="Times New Roman"/>
        </w:rPr>
        <w:t>，污染因子主要为H</w:t>
      </w:r>
      <w:r>
        <w:rPr>
          <w:rFonts w:ascii="Times New Roman" w:hAnsi="Times New Roman" w:eastAsia="宋体" w:cs="Times New Roman"/>
          <w:vertAlign w:val="subscript"/>
        </w:rPr>
        <w:t>2</w:t>
      </w:r>
      <w:r>
        <w:rPr>
          <w:rFonts w:ascii="Times New Roman" w:hAnsi="Times New Roman" w:eastAsia="宋体" w:cs="Times New Roman"/>
        </w:rPr>
        <w:t>S、NH</w:t>
      </w:r>
      <w:r>
        <w:rPr>
          <w:rFonts w:ascii="Times New Roman" w:hAnsi="Times New Roman" w:eastAsia="宋体" w:cs="Times New Roman"/>
          <w:vertAlign w:val="subscript"/>
        </w:rPr>
        <w:t>3</w:t>
      </w:r>
      <w:r>
        <w:rPr>
          <w:rFonts w:ascii="Times New Roman" w:hAnsi="Times New Roman" w:eastAsia="宋体" w:cs="Times New Roman"/>
        </w:rPr>
        <w:t>、臭气浓度。臭气浓度（无量纲）无组织排放按照《畜禽养殖业污染物排放标准》（GB18596-2001）中的集约化畜禽养殖业恶臭污染物排放标准进行控制；NH</w:t>
      </w:r>
      <w:r>
        <w:rPr>
          <w:rFonts w:ascii="Times New Roman" w:hAnsi="Times New Roman" w:eastAsia="宋体" w:cs="Times New Roman"/>
          <w:vertAlign w:val="subscript"/>
        </w:rPr>
        <w:t>3</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S执行《恶臭污染物排放标准》（GB14554-93）中恶臭污染物厂界标准值中的二级标准进行控制；</w:t>
      </w:r>
    </w:p>
    <w:p>
      <w:pPr>
        <w:spacing w:line="440" w:lineRule="exact"/>
        <w:ind w:firstLine="482" w:firstLineChars="200"/>
        <w:jc w:val="center"/>
        <w:rPr>
          <w:rFonts w:ascii="Times New Roman" w:hAnsi="Times New Roman" w:eastAsia="宋体" w:cs="Times New Roman"/>
          <w:b/>
          <w:bCs/>
        </w:rPr>
      </w:pPr>
      <w:r>
        <w:rPr>
          <w:rFonts w:ascii="Times New Roman" w:hAnsi="Times New Roman" w:eastAsia="宋体" w:cs="Times New Roman"/>
          <w:b/>
          <w:bCs/>
        </w:rPr>
        <w:t>表</w:t>
      </w:r>
      <w:r>
        <w:rPr>
          <w:rFonts w:hint="eastAsia" w:ascii="Times New Roman" w:hAnsi="Times New Roman" w:eastAsia="宋体" w:cs="Times New Roman"/>
          <w:b/>
          <w:bCs/>
        </w:rPr>
        <w:t>6</w:t>
      </w:r>
      <w:r>
        <w:rPr>
          <w:rFonts w:ascii="Times New Roman" w:hAnsi="Times New Roman" w:eastAsia="宋体" w:cs="Times New Roman"/>
          <w:b/>
          <w:bCs/>
        </w:rPr>
        <w:t>.2-1</w:t>
      </w:r>
      <w:r>
        <w:rPr>
          <w:rFonts w:hint="eastAsia" w:ascii="Times New Roman" w:hAnsi="Times New Roman" w:eastAsia="宋体" w:cs="Times New Roman"/>
          <w:b/>
          <w:bCs/>
        </w:rPr>
        <w:t xml:space="preserve">  </w:t>
      </w:r>
      <w:r>
        <w:rPr>
          <w:rFonts w:ascii="Times New Roman" w:hAnsi="Times New Roman" w:eastAsia="宋体" w:cs="Times New Roman"/>
          <w:b/>
          <w:bCs/>
        </w:rPr>
        <w:t>集约化畜禽养殖业恶臭污染物排放标准</w:t>
      </w:r>
    </w:p>
    <w:tbl>
      <w:tblPr>
        <w:tblStyle w:val="47"/>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2570"/>
        <w:gridCol w:w="5752"/>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696" w:type="dxa"/>
            <w:vAlign w:val="center"/>
          </w:tcPr>
          <w:p>
            <w:pPr>
              <w:spacing w:line="360" w:lineRule="exact"/>
              <w:jc w:val="center"/>
              <w:rPr>
                <w:rFonts w:ascii="Calibri" w:hAnsi="Calibri" w:eastAsia="宋体" w:cs="Times New Roman"/>
                <w:sz w:val="21"/>
              </w:rPr>
            </w:pPr>
            <w:r>
              <w:rPr>
                <w:rFonts w:ascii="Calibri" w:hAnsi="Calibri" w:eastAsia="宋体" w:cs="Times New Roman"/>
                <w:sz w:val="21"/>
              </w:rPr>
              <w:t>控制项目</w:t>
            </w:r>
          </w:p>
        </w:tc>
        <w:tc>
          <w:tcPr>
            <w:tcW w:w="6037" w:type="dxa"/>
            <w:vAlign w:val="center"/>
          </w:tcPr>
          <w:p>
            <w:pPr>
              <w:spacing w:line="360" w:lineRule="exact"/>
              <w:jc w:val="center"/>
              <w:rPr>
                <w:rFonts w:ascii="Calibri" w:hAnsi="Calibri" w:eastAsia="宋体" w:cs="Times New Roman"/>
                <w:sz w:val="21"/>
              </w:rPr>
            </w:pPr>
            <w:r>
              <w:rPr>
                <w:rFonts w:ascii="Calibri" w:hAnsi="Calibri" w:eastAsia="宋体" w:cs="Times New Roman"/>
                <w:sz w:val="21"/>
              </w:rPr>
              <w:t>标准值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696" w:type="dxa"/>
            <w:vAlign w:val="center"/>
          </w:tcPr>
          <w:p>
            <w:pPr>
              <w:spacing w:line="360" w:lineRule="exact"/>
              <w:jc w:val="center"/>
              <w:rPr>
                <w:rFonts w:ascii="Calibri" w:hAnsi="Calibri" w:eastAsia="宋体" w:cs="Times New Roman"/>
                <w:sz w:val="21"/>
              </w:rPr>
            </w:pPr>
            <w:r>
              <w:rPr>
                <w:rFonts w:ascii="Calibri" w:hAnsi="Calibri" w:eastAsia="宋体" w:cs="Times New Roman"/>
                <w:sz w:val="21"/>
              </w:rPr>
              <w:t>臭气浓度（无量纲）</w:t>
            </w:r>
          </w:p>
        </w:tc>
        <w:tc>
          <w:tcPr>
            <w:tcW w:w="6037"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70</w:t>
            </w:r>
          </w:p>
        </w:tc>
      </w:tr>
    </w:tbl>
    <w:p>
      <w:pPr>
        <w:spacing w:line="440" w:lineRule="exact"/>
        <w:ind w:firstLine="482" w:firstLineChars="200"/>
        <w:jc w:val="center"/>
        <w:rPr>
          <w:rFonts w:ascii="Times New Roman" w:hAnsi="Times New Roman" w:eastAsia="宋体" w:cs="Times New Roman"/>
          <w:b/>
          <w:bCs/>
        </w:rPr>
      </w:pPr>
      <w:r>
        <w:rPr>
          <w:rFonts w:ascii="Times New Roman" w:hAnsi="Times New Roman" w:eastAsia="宋体" w:cs="Times New Roman"/>
          <w:b/>
          <w:bCs/>
        </w:rPr>
        <w:t>表6.2-2</w:t>
      </w:r>
      <w:r>
        <w:rPr>
          <w:rFonts w:hint="eastAsia" w:ascii="Times New Roman" w:hAnsi="Times New Roman" w:eastAsia="宋体" w:cs="Times New Roman"/>
          <w:b/>
          <w:bCs/>
        </w:rPr>
        <w:t xml:space="preserve">  </w:t>
      </w:r>
      <w:r>
        <w:rPr>
          <w:rFonts w:ascii="Times New Roman" w:hAnsi="Times New Roman" w:eastAsia="宋体" w:cs="Times New Roman"/>
          <w:b/>
          <w:bCs/>
        </w:rPr>
        <w:t>恶臭污染物排放标准值</w:t>
      </w:r>
    </w:p>
    <w:tbl>
      <w:tblPr>
        <w:tblStyle w:val="47"/>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2756"/>
        <w:gridCol w:w="2698"/>
        <w:gridCol w:w="286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914"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污染物</w:t>
            </w:r>
          </w:p>
        </w:tc>
        <w:tc>
          <w:tcPr>
            <w:tcW w:w="285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15m排气筒</w:t>
            </w:r>
          </w:p>
        </w:tc>
        <w:tc>
          <w:tcPr>
            <w:tcW w:w="303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厂界</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914"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NH</w:t>
            </w:r>
            <w:r>
              <w:rPr>
                <w:rFonts w:ascii="Times New Roman" w:hAnsi="Times New Roman" w:eastAsia="宋体" w:cs="Times New Roman"/>
                <w:sz w:val="21"/>
                <w:vertAlign w:val="subscript"/>
              </w:rPr>
              <w:t>3</w:t>
            </w:r>
          </w:p>
        </w:tc>
        <w:tc>
          <w:tcPr>
            <w:tcW w:w="285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4.9kg/h</w:t>
            </w:r>
          </w:p>
        </w:tc>
        <w:tc>
          <w:tcPr>
            <w:tcW w:w="303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1.5mg/m</w:t>
            </w:r>
            <w:r>
              <w:rPr>
                <w:rFonts w:ascii="Times New Roman" w:hAnsi="Times New Roman" w:eastAsia="宋体" w:cs="Times New Roman"/>
                <w:sz w:val="21"/>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914"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H</w:t>
            </w:r>
            <w:r>
              <w:rPr>
                <w:rFonts w:ascii="Times New Roman" w:hAnsi="Times New Roman" w:eastAsia="宋体" w:cs="Times New Roman"/>
                <w:sz w:val="21"/>
                <w:vertAlign w:val="subscript"/>
              </w:rPr>
              <w:t>2</w:t>
            </w:r>
            <w:r>
              <w:rPr>
                <w:rFonts w:ascii="Times New Roman" w:hAnsi="Times New Roman" w:eastAsia="宋体" w:cs="Times New Roman"/>
                <w:sz w:val="21"/>
              </w:rPr>
              <w:t>S</w:t>
            </w:r>
          </w:p>
        </w:tc>
        <w:tc>
          <w:tcPr>
            <w:tcW w:w="285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0.33kg/h</w:t>
            </w:r>
          </w:p>
        </w:tc>
        <w:tc>
          <w:tcPr>
            <w:tcW w:w="303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0.06mg/m</w:t>
            </w:r>
            <w:r>
              <w:rPr>
                <w:rFonts w:ascii="Times New Roman" w:hAnsi="Times New Roman" w:eastAsia="宋体" w:cs="Times New Roman"/>
                <w:sz w:val="21"/>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2914"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臭气浓度</w:t>
            </w:r>
          </w:p>
        </w:tc>
        <w:tc>
          <w:tcPr>
            <w:tcW w:w="285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2000（无量纲）</w:t>
            </w:r>
          </w:p>
        </w:tc>
        <w:tc>
          <w:tcPr>
            <w:tcW w:w="3032" w:type="dxa"/>
            <w:vAlign w:val="center"/>
          </w:tcPr>
          <w:p>
            <w:pPr>
              <w:spacing w:line="360" w:lineRule="exact"/>
              <w:jc w:val="center"/>
              <w:rPr>
                <w:rFonts w:ascii="Times New Roman" w:hAnsi="Times New Roman" w:eastAsia="宋体" w:cs="Times New Roman"/>
                <w:sz w:val="21"/>
              </w:rPr>
            </w:pPr>
            <w:r>
              <w:rPr>
                <w:rFonts w:ascii="Times New Roman" w:hAnsi="Times New Roman" w:eastAsia="宋体" w:cs="Times New Roman"/>
                <w:sz w:val="21"/>
              </w:rPr>
              <w:t>/</w:t>
            </w:r>
          </w:p>
        </w:tc>
      </w:tr>
    </w:tbl>
    <w:p>
      <w:pPr>
        <w:pStyle w:val="3"/>
        <w:rPr>
          <w:rFonts w:cs="Times New Roman"/>
        </w:rPr>
      </w:pPr>
      <w:bookmarkStart w:id="160" w:name="_Toc102039306"/>
      <w:r>
        <w:rPr>
          <w:rFonts w:cs="Times New Roman"/>
        </w:rPr>
        <w:t>6.3噪声执行标准</w:t>
      </w:r>
      <w:bookmarkEnd w:id="154"/>
      <w:bookmarkEnd w:id="155"/>
      <w:bookmarkEnd w:id="156"/>
      <w:bookmarkEnd w:id="157"/>
      <w:bookmarkEnd w:id="158"/>
      <w:bookmarkEnd w:id="159"/>
      <w:bookmarkEnd w:id="160"/>
    </w:p>
    <w:p>
      <w:pPr>
        <w:pStyle w:val="65"/>
        <w:ind w:firstLine="480"/>
        <w:rPr>
          <w:rFonts w:ascii="Times New Roman" w:hAnsi="Times New Roman" w:eastAsia="宋体" w:cs="Times New Roman"/>
          <w:color w:val="000000"/>
          <w:szCs w:val="20"/>
        </w:rPr>
      </w:pPr>
      <w:r>
        <w:rPr>
          <w:rFonts w:ascii="Times New Roman" w:hAnsi="Times New Roman" w:cs="Times New Roman"/>
        </w:rPr>
        <w:t>项目厂界噪声执行《工业企业厂界环境噪声排放标准》（GB12348-2008）声环境功能区标准中的2类声环境功能区标准，</w:t>
      </w:r>
      <w:r>
        <w:rPr>
          <w:rFonts w:ascii="Times New Roman" w:hAnsi="Times New Roman" w:eastAsia="宋体" w:cs="Times New Roman"/>
          <w:color w:val="000000"/>
          <w:szCs w:val="20"/>
        </w:rPr>
        <w:t>相关标准值见</w:t>
      </w:r>
      <w:r>
        <w:rPr>
          <w:rFonts w:hint="eastAsia" w:ascii="Times New Roman" w:hAnsi="Times New Roman" w:eastAsia="宋体" w:cs="Times New Roman"/>
          <w:color w:val="000000"/>
          <w:szCs w:val="20"/>
        </w:rPr>
        <w:t>下表</w:t>
      </w:r>
      <w:r>
        <w:rPr>
          <w:rFonts w:ascii="Times New Roman" w:hAnsi="Times New Roman" w:eastAsia="宋体" w:cs="Times New Roman"/>
          <w:color w:val="000000"/>
          <w:szCs w:val="20"/>
        </w:rPr>
        <w:t>。</w:t>
      </w:r>
    </w:p>
    <w:p>
      <w:pPr>
        <w:spacing w:before="156" w:beforeLines="50"/>
        <w:ind w:firstLine="482" w:firstLineChars="200"/>
        <w:jc w:val="center"/>
        <w:rPr>
          <w:rFonts w:ascii="Times New Roman" w:hAnsi="Times New Roman" w:eastAsia="宋体" w:cs="Times New Roman"/>
          <w:b/>
          <w:bCs/>
          <w:color w:val="000000"/>
          <w:szCs w:val="20"/>
        </w:rPr>
      </w:pPr>
      <w:r>
        <w:rPr>
          <w:rFonts w:ascii="Times New Roman" w:hAnsi="Times New Roman" w:eastAsia="宋体" w:cs="Times New Roman"/>
          <w:b/>
          <w:bCs/>
          <w:color w:val="000000"/>
          <w:szCs w:val="20"/>
        </w:rPr>
        <w:t>表6.3-1  工业企业厂界环境噪声排放标准  单位：dB（A）</w:t>
      </w:r>
    </w:p>
    <w:tbl>
      <w:tblPr>
        <w:tblStyle w:val="47"/>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486"/>
        <w:gridCol w:w="1634"/>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21"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类别</w:t>
            </w:r>
          </w:p>
        </w:tc>
        <w:tc>
          <w:tcPr>
            <w:tcW w:w="864"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昼间dB</w:t>
            </w:r>
          </w:p>
        </w:tc>
        <w:tc>
          <w:tcPr>
            <w:tcW w:w="950"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夜间dB</w:t>
            </w:r>
          </w:p>
        </w:tc>
        <w:tc>
          <w:tcPr>
            <w:tcW w:w="2465"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21"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2类</w:t>
            </w:r>
          </w:p>
        </w:tc>
        <w:tc>
          <w:tcPr>
            <w:tcW w:w="864"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60</w:t>
            </w:r>
          </w:p>
        </w:tc>
        <w:tc>
          <w:tcPr>
            <w:tcW w:w="950"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sz w:val="21"/>
              </w:rPr>
              <w:t>50</w:t>
            </w:r>
          </w:p>
        </w:tc>
        <w:tc>
          <w:tcPr>
            <w:tcW w:w="2465" w:type="pct"/>
            <w:vAlign w:val="center"/>
          </w:tcPr>
          <w:p>
            <w:pPr>
              <w:adjustRightInd w:val="0"/>
              <w:jc w:val="center"/>
              <w:rPr>
                <w:rFonts w:ascii="Times New Roman" w:hAnsi="Times New Roman" w:eastAsia="宋体" w:cs="Times New Roman"/>
                <w:color w:val="000000"/>
                <w:sz w:val="21"/>
              </w:rPr>
            </w:pPr>
            <w:r>
              <w:rPr>
                <w:rFonts w:ascii="Times New Roman" w:hAnsi="Times New Roman" w:eastAsia="宋体" w:cs="Times New Roman"/>
                <w:color w:val="000000"/>
                <w:kern w:val="0"/>
                <w:sz w:val="21"/>
              </w:rPr>
              <w:t>《工业企业厂界环境噪声排放标准》（GB12348-2008）3类、4类标准</w:t>
            </w:r>
          </w:p>
        </w:tc>
      </w:tr>
    </w:tbl>
    <w:p>
      <w:pPr>
        <w:pStyle w:val="3"/>
        <w:rPr>
          <w:rFonts w:cs="Times New Roman"/>
        </w:rPr>
      </w:pPr>
      <w:bookmarkStart w:id="161" w:name="_Toc102039307"/>
      <w:r>
        <w:rPr>
          <w:rFonts w:cs="Times New Roman"/>
        </w:rPr>
        <w:t>6.4 固废</w:t>
      </w:r>
      <w:bookmarkEnd w:id="161"/>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《畜禽养殖业污染物排放标准》(GB18596-2001) 表6中规定畜禽养殖业废渣禁止直接倾倒地表水或其他环境中，用于还田时必需进行无害化处理。本项目粪便运至有机肥厂，一系列处理均在有机肥厂进行。病死猪尸体参照执行《畜禽病害尸及其产品无害化处理规程》（GB16548-1996）和《病死及病害动物无害化处理技术规范》（农医发〔2017〕25号）；医疗废物执行《危险废物贮存污染控制标准》（GB18597-2001）及2013年修改单（公告2013年第36号）。一般工业固废执行《一般工业固体废物贮存和填埋污染控制标准》（GB18599-2020）中的有关规定。</w:t>
      </w:r>
    </w:p>
    <w:p>
      <w:pPr>
        <w:pStyle w:val="3"/>
        <w:rPr>
          <w:rFonts w:cs="Times New Roman"/>
        </w:rPr>
      </w:pPr>
      <w:r>
        <w:rPr>
          <w:rFonts w:hint="eastAsia" w:cs="Times New Roman"/>
        </w:rPr>
        <w:t>6</w:t>
      </w:r>
      <w:r>
        <w:rPr>
          <w:rFonts w:cs="Times New Roman"/>
        </w:rPr>
        <w:t xml:space="preserve">.5 </w:t>
      </w:r>
      <w:r>
        <w:rPr>
          <w:rFonts w:hint="eastAsia" w:cs="Times New Roman"/>
        </w:rPr>
        <w:t>地下水</w:t>
      </w:r>
    </w:p>
    <w:p>
      <w:pPr>
        <w:widowControl/>
        <w:spacing w:line="360" w:lineRule="auto"/>
        <w:ind w:firstLine="480" w:firstLineChars="200"/>
        <w:jc w:val="left"/>
        <w:rPr>
          <w:rFonts w:ascii="Times New Roman" w:hAnsi="Times New Roman" w:eastAsia="宋体" w:cs="Times New Roman"/>
          <w:kern w:val="0"/>
          <w:szCs w:val="22"/>
        </w:rPr>
      </w:pPr>
      <w:r>
        <w:rPr>
          <w:rFonts w:ascii="Times New Roman" w:hAnsi="Times New Roman" w:eastAsia="宋体" w:cs="Times New Roman"/>
          <w:kern w:val="0"/>
          <w:szCs w:val="22"/>
        </w:rPr>
        <w:t>根据《地下水质量标准》（GB/T14848-2017）中地下水质量分类标准，拟建项目区域地下水环境执行Ⅲ类标准，具体各污染物标准限值见表6.5-1。</w:t>
      </w:r>
    </w:p>
    <w:p>
      <w:pPr>
        <w:spacing w:line="440" w:lineRule="exact"/>
        <w:ind w:firstLine="482" w:firstLineChars="200"/>
        <w:jc w:val="center"/>
        <w:rPr>
          <w:rFonts w:ascii="Times New Roman" w:hAnsi="Times New Roman" w:eastAsia="宋体" w:cs="Times New Roman"/>
          <w:b/>
          <w:bCs/>
        </w:rPr>
      </w:pPr>
      <w:r>
        <w:rPr>
          <w:rFonts w:ascii="Times New Roman" w:hAnsi="Times New Roman" w:eastAsia="宋体" w:cs="Times New Roman"/>
          <w:b/>
          <w:bCs/>
        </w:rPr>
        <w:t>表6.5-1</w:t>
      </w:r>
      <w:r>
        <w:rPr>
          <w:rFonts w:hint="eastAsia" w:ascii="Times New Roman" w:hAnsi="Times New Roman" w:eastAsia="宋体" w:cs="Times New Roman"/>
          <w:b/>
          <w:bCs/>
        </w:rPr>
        <w:t xml:space="preserve">  </w:t>
      </w:r>
      <w:r>
        <w:rPr>
          <w:rFonts w:ascii="Times New Roman" w:hAnsi="Times New Roman" w:eastAsia="宋体" w:cs="Times New Roman"/>
          <w:b/>
          <w:bCs/>
        </w:rPr>
        <w:t>地下水环境质量标准</w:t>
      </w:r>
      <w:r>
        <w:rPr>
          <w:rFonts w:ascii="Times New Roman" w:hAnsi="Times New Roman" w:eastAsia="宋体" w:cs="Times New Roman"/>
          <w:b/>
          <w:bCs/>
        </w:rPr>
        <w:tab/>
      </w:r>
      <w:r>
        <w:rPr>
          <w:rFonts w:hint="eastAsia" w:ascii="Times New Roman" w:hAnsi="Times New Roman" w:eastAsia="宋体" w:cs="Times New Roman"/>
          <w:b/>
          <w:bCs/>
        </w:rPr>
        <w:t xml:space="preserve">    </w:t>
      </w:r>
      <w:r>
        <w:rPr>
          <w:rFonts w:ascii="Times New Roman" w:hAnsi="Times New Roman" w:eastAsia="宋体" w:cs="Times New Roman"/>
          <w:b/>
          <w:bCs/>
        </w:rPr>
        <w:t>单位：mg/L、个/L</w:t>
      </w:r>
    </w:p>
    <w:tbl>
      <w:tblPr>
        <w:tblStyle w:val="4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568"/>
        <w:gridCol w:w="951"/>
        <w:gridCol w:w="1032"/>
        <w:gridCol w:w="1807"/>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序号</w:t>
            </w:r>
          </w:p>
        </w:tc>
        <w:tc>
          <w:tcPr>
            <w:tcW w:w="2584"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污染物</w:t>
            </w:r>
          </w:p>
        </w:tc>
        <w:tc>
          <w:tcPr>
            <w:tcW w:w="912"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标椎值</w:t>
            </w:r>
          </w:p>
        </w:tc>
        <w:tc>
          <w:tcPr>
            <w:tcW w:w="1040"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序号</w:t>
            </w:r>
          </w:p>
        </w:tc>
        <w:tc>
          <w:tcPr>
            <w:tcW w:w="1814"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污染物</w:t>
            </w:r>
          </w:p>
        </w:tc>
        <w:tc>
          <w:tcPr>
            <w:tcW w:w="1305" w:type="dxa"/>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标椎值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1</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pH</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6.5-8.5</w:t>
            </w:r>
          </w:p>
        </w:tc>
        <w:tc>
          <w:tcPr>
            <w:tcW w:w="1040"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9</w:t>
            </w:r>
          </w:p>
        </w:tc>
        <w:tc>
          <w:tcPr>
            <w:tcW w:w="181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硝酸盐</w:t>
            </w:r>
          </w:p>
        </w:tc>
        <w:tc>
          <w:tcPr>
            <w:tcW w:w="1305"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2</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总硬度</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≤450</w:t>
            </w:r>
          </w:p>
        </w:tc>
        <w:tc>
          <w:tcPr>
            <w:tcW w:w="1040"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10</w:t>
            </w:r>
          </w:p>
        </w:tc>
        <w:tc>
          <w:tcPr>
            <w:tcW w:w="181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氨氮</w:t>
            </w:r>
          </w:p>
        </w:tc>
        <w:tc>
          <w:tcPr>
            <w:tcW w:w="1305"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3</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溶解性总固体</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≤1000</w:t>
            </w:r>
          </w:p>
        </w:tc>
        <w:tc>
          <w:tcPr>
            <w:tcW w:w="1040"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11</w:t>
            </w:r>
          </w:p>
        </w:tc>
        <w:tc>
          <w:tcPr>
            <w:tcW w:w="1814"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耗氧量（COD</w:t>
            </w:r>
            <w:r>
              <w:rPr>
                <w:rFonts w:ascii="宋体" w:hAnsi="宋体" w:eastAsia="宋体" w:cs="Times New Roman"/>
                <w:color w:val="000000"/>
                <w:kern w:val="0"/>
                <w:sz w:val="21"/>
                <w:szCs w:val="21"/>
                <w:vertAlign w:val="subscript"/>
              </w:rPr>
              <w:t>Mn</w:t>
            </w:r>
            <w:r>
              <w:rPr>
                <w:rFonts w:ascii="宋体" w:hAnsi="宋体" w:eastAsia="宋体" w:cs="Times New Roman"/>
                <w:color w:val="000000"/>
                <w:kern w:val="0"/>
                <w:sz w:val="21"/>
                <w:szCs w:val="21"/>
              </w:rPr>
              <w:t>法，以O</w:t>
            </w:r>
            <w:r>
              <w:rPr>
                <w:rFonts w:ascii="宋体" w:hAnsi="宋体" w:eastAsia="宋体" w:cs="Times New Roman"/>
                <w:color w:val="000000"/>
                <w:kern w:val="0"/>
                <w:sz w:val="21"/>
                <w:szCs w:val="21"/>
                <w:vertAlign w:val="subscript"/>
              </w:rPr>
              <w:t>2</w:t>
            </w:r>
            <w:r>
              <w:rPr>
                <w:rFonts w:ascii="宋体" w:hAnsi="宋体" w:eastAsia="宋体" w:cs="Times New Roman"/>
                <w:color w:val="000000"/>
                <w:kern w:val="0"/>
                <w:sz w:val="21"/>
                <w:szCs w:val="21"/>
              </w:rPr>
              <w:t>计）</w:t>
            </w:r>
          </w:p>
        </w:tc>
        <w:tc>
          <w:tcPr>
            <w:tcW w:w="1305"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4</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硫酸盐</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≤250</w:t>
            </w:r>
          </w:p>
        </w:tc>
        <w:tc>
          <w:tcPr>
            <w:tcW w:w="1040"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12</w:t>
            </w:r>
          </w:p>
        </w:tc>
        <w:tc>
          <w:tcPr>
            <w:tcW w:w="1814"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锰</w:t>
            </w:r>
          </w:p>
        </w:tc>
        <w:tc>
          <w:tcPr>
            <w:tcW w:w="1305"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5</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氯化物</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≤250</w:t>
            </w:r>
          </w:p>
        </w:tc>
        <w:tc>
          <w:tcPr>
            <w:tcW w:w="1040"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13</w:t>
            </w:r>
          </w:p>
        </w:tc>
        <w:tc>
          <w:tcPr>
            <w:tcW w:w="1814"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挥发性酚类</w:t>
            </w:r>
          </w:p>
        </w:tc>
        <w:tc>
          <w:tcPr>
            <w:tcW w:w="1305"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6</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亚硝酸盐（以N计）</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≤1.00</w:t>
            </w:r>
          </w:p>
        </w:tc>
        <w:tc>
          <w:tcPr>
            <w:tcW w:w="1040"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14</w:t>
            </w:r>
          </w:p>
        </w:tc>
        <w:tc>
          <w:tcPr>
            <w:tcW w:w="1814"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菌落总数（CFU/mL）</w:t>
            </w:r>
          </w:p>
        </w:tc>
        <w:tc>
          <w:tcPr>
            <w:tcW w:w="1305" w:type="dxa"/>
            <w:vAlign w:val="center"/>
          </w:tcPr>
          <w:p>
            <w:pPr>
              <w:spacing w:line="360" w:lineRule="exact"/>
              <w:jc w:val="center"/>
              <w:rPr>
                <w:rFonts w:ascii="Calibri" w:hAnsi="Calibri" w:eastAsia="宋体" w:cs="Times New Roman"/>
                <w:color w:val="000000"/>
                <w:sz w:val="21"/>
                <w:szCs w:val="21"/>
              </w:rPr>
            </w:pPr>
            <w:r>
              <w:rPr>
                <w:rFonts w:ascii="宋体" w:hAnsi="宋体" w:eastAsia="宋体" w:cs="Times New Roman"/>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7</w:t>
            </w:r>
          </w:p>
        </w:tc>
        <w:tc>
          <w:tcPr>
            <w:tcW w:w="258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铁</w:t>
            </w:r>
          </w:p>
        </w:tc>
        <w:tc>
          <w:tcPr>
            <w:tcW w:w="912"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≤0.3</w:t>
            </w:r>
          </w:p>
        </w:tc>
        <w:tc>
          <w:tcPr>
            <w:tcW w:w="1040"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15</w:t>
            </w:r>
          </w:p>
        </w:tc>
        <w:tc>
          <w:tcPr>
            <w:tcW w:w="1814" w:type="dxa"/>
            <w:vAlign w:val="center"/>
          </w:tcPr>
          <w:p>
            <w:pPr>
              <w:spacing w:line="360" w:lineRule="exact"/>
              <w:jc w:val="center"/>
              <w:rPr>
                <w:rFonts w:ascii="Calibri" w:hAnsi="Calibri" w:eastAsia="宋体" w:cs="Times New Roman"/>
                <w:sz w:val="21"/>
                <w:szCs w:val="21"/>
              </w:rPr>
            </w:pPr>
            <w:r>
              <w:rPr>
                <w:rFonts w:ascii="Calibri" w:hAnsi="Calibri" w:eastAsia="宋体" w:cs="Times New Roman"/>
                <w:sz w:val="21"/>
                <w:szCs w:val="21"/>
              </w:rPr>
              <w:t>铜</w:t>
            </w:r>
          </w:p>
        </w:tc>
        <w:tc>
          <w:tcPr>
            <w:tcW w:w="1305" w:type="dxa"/>
            <w:vAlign w:val="center"/>
          </w:tcPr>
          <w:p>
            <w:pPr>
              <w:spacing w:line="360" w:lineRule="exact"/>
              <w:jc w:val="center"/>
              <w:rPr>
                <w:rFonts w:ascii="Calibri" w:hAnsi="Calibri" w:eastAsia="宋体" w:cs="Times New Roman"/>
                <w:color w:val="FF0000"/>
                <w:sz w:val="21"/>
                <w:szCs w:val="21"/>
              </w:rPr>
            </w:pPr>
            <w:r>
              <w:rPr>
                <w:rFonts w:ascii="宋体" w:hAnsi="宋体" w:eastAsia="宋体" w:cs="Times New Roman"/>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spacing w:line="360" w:lineRule="exact"/>
              <w:jc w:val="center"/>
              <w:rPr>
                <w:rFonts w:ascii="Calibri" w:hAnsi="Calibri" w:eastAsia="宋体" w:cs="Times New Roman"/>
                <w:sz w:val="21"/>
                <w:szCs w:val="21"/>
              </w:rPr>
            </w:pPr>
            <w:r>
              <w:rPr>
                <w:rFonts w:ascii="宋体" w:hAnsi="宋体" w:eastAsia="宋体" w:cs="Times New Roman"/>
                <w:color w:val="000000"/>
                <w:kern w:val="0"/>
                <w:sz w:val="21"/>
                <w:szCs w:val="21"/>
              </w:rPr>
              <w:t>8</w:t>
            </w:r>
          </w:p>
        </w:tc>
        <w:tc>
          <w:tcPr>
            <w:tcW w:w="2584" w:type="dxa"/>
            <w:vAlign w:val="center"/>
          </w:tcPr>
          <w:p>
            <w:pPr>
              <w:spacing w:line="360" w:lineRule="exact"/>
              <w:jc w:val="left"/>
              <w:rPr>
                <w:rFonts w:ascii="Calibri" w:hAnsi="Calibri" w:eastAsia="宋体" w:cs="Times New Roman"/>
                <w:color w:val="FF0000"/>
                <w:sz w:val="21"/>
                <w:szCs w:val="21"/>
              </w:rPr>
            </w:pPr>
            <w:r>
              <w:rPr>
                <w:rFonts w:ascii="宋体" w:hAnsi="宋体" w:eastAsia="宋体" w:cs="Times New Roman"/>
                <w:color w:val="000000"/>
                <w:kern w:val="0"/>
                <w:sz w:val="21"/>
                <w:szCs w:val="21"/>
              </w:rPr>
              <w:t>总大肠菌群（MPN/100mL或CFU/100mL）</w:t>
            </w:r>
          </w:p>
        </w:tc>
        <w:tc>
          <w:tcPr>
            <w:tcW w:w="912" w:type="dxa"/>
            <w:vAlign w:val="center"/>
          </w:tcPr>
          <w:p>
            <w:pPr>
              <w:spacing w:line="360" w:lineRule="exact"/>
              <w:jc w:val="center"/>
              <w:rPr>
                <w:rFonts w:ascii="Calibri" w:hAnsi="Calibri" w:eastAsia="宋体" w:cs="Times New Roman"/>
                <w:color w:val="FF0000"/>
                <w:sz w:val="21"/>
                <w:szCs w:val="21"/>
              </w:rPr>
            </w:pPr>
            <w:r>
              <w:rPr>
                <w:rFonts w:ascii="宋体" w:hAnsi="宋体" w:eastAsia="宋体" w:cs="Times New Roman"/>
                <w:color w:val="000000"/>
                <w:kern w:val="0"/>
                <w:sz w:val="21"/>
                <w:szCs w:val="21"/>
              </w:rPr>
              <w:t>≤3.0</w:t>
            </w:r>
          </w:p>
        </w:tc>
        <w:tc>
          <w:tcPr>
            <w:tcW w:w="1040" w:type="dxa"/>
            <w:vAlign w:val="center"/>
          </w:tcPr>
          <w:p>
            <w:pPr>
              <w:spacing w:line="360" w:lineRule="exact"/>
              <w:jc w:val="center"/>
              <w:rPr>
                <w:rFonts w:ascii="Calibri" w:hAnsi="Calibri" w:eastAsia="宋体" w:cs="Times New Roman"/>
                <w:color w:val="FF0000"/>
                <w:sz w:val="21"/>
                <w:szCs w:val="21"/>
              </w:rPr>
            </w:pPr>
          </w:p>
        </w:tc>
        <w:tc>
          <w:tcPr>
            <w:tcW w:w="1814" w:type="dxa"/>
            <w:vAlign w:val="center"/>
          </w:tcPr>
          <w:p>
            <w:pPr>
              <w:spacing w:line="360" w:lineRule="exact"/>
              <w:jc w:val="center"/>
              <w:rPr>
                <w:rFonts w:ascii="Calibri" w:hAnsi="Calibri" w:eastAsia="宋体" w:cs="Times New Roman"/>
                <w:color w:val="FF0000"/>
                <w:sz w:val="21"/>
                <w:szCs w:val="21"/>
              </w:rPr>
            </w:pPr>
          </w:p>
        </w:tc>
        <w:tc>
          <w:tcPr>
            <w:tcW w:w="1305" w:type="dxa"/>
            <w:vAlign w:val="center"/>
          </w:tcPr>
          <w:p>
            <w:pPr>
              <w:spacing w:line="360" w:lineRule="exact"/>
              <w:jc w:val="center"/>
              <w:rPr>
                <w:rFonts w:ascii="Calibri" w:hAnsi="Calibri" w:eastAsia="宋体" w:cs="Times New Roman"/>
                <w:color w:val="FF0000"/>
                <w:sz w:val="21"/>
                <w:szCs w:val="21"/>
              </w:rPr>
            </w:pPr>
          </w:p>
        </w:tc>
      </w:tr>
    </w:tbl>
    <w:p>
      <w:pPr>
        <w:pStyle w:val="3"/>
        <w:rPr>
          <w:rFonts w:cs="Times New Roman"/>
        </w:rPr>
      </w:pPr>
      <w:r>
        <w:rPr>
          <w:rFonts w:hint="eastAsia" w:cs="Times New Roman"/>
        </w:rPr>
        <w:t>6</w:t>
      </w:r>
      <w:r>
        <w:rPr>
          <w:rFonts w:cs="Times New Roman"/>
        </w:rPr>
        <w:t>.6</w:t>
      </w:r>
      <w:r>
        <w:rPr>
          <w:rFonts w:hint="eastAsia" w:cs="Times New Roman"/>
        </w:rPr>
        <w:t>地下水</w:t>
      </w:r>
    </w:p>
    <w:p>
      <w:pPr>
        <w:widowControl/>
        <w:spacing w:line="360" w:lineRule="auto"/>
        <w:ind w:firstLine="480" w:firstLineChars="200"/>
        <w:jc w:val="left"/>
        <w:rPr>
          <w:rFonts w:hint="eastAsia" w:ascii="Times New Roman" w:hAnsi="Times New Roman" w:eastAsia="宋体" w:cs="Times New Roman"/>
          <w:kern w:val="0"/>
          <w:szCs w:val="22"/>
        </w:rPr>
      </w:pPr>
      <w:r>
        <w:rPr>
          <w:rFonts w:hint="eastAsia" w:ascii="Times New Roman" w:hAnsi="Times New Roman" w:eastAsia="宋体" w:cs="Times New Roman"/>
          <w:kern w:val="0"/>
          <w:szCs w:val="22"/>
        </w:rPr>
        <w:t>占地范围内的土壤执行《土壤环境质量  建设用地土壤污染风险管控标准（试行）》（GB15618-2018）中建设用地土壤污染</w:t>
      </w:r>
      <w:r>
        <w:rPr>
          <w:rFonts w:hint="eastAsia" w:ascii="Times New Roman" w:hAnsi="Times New Roman" w:eastAsia="宋体" w:cs="Times New Roman"/>
          <w:kern w:val="0"/>
          <w:szCs w:val="22"/>
          <w:lang w:val="en-US" w:eastAsia="zh-CN"/>
        </w:rPr>
        <w:t>第二类用地</w:t>
      </w:r>
      <w:r>
        <w:rPr>
          <w:rFonts w:hint="eastAsia" w:ascii="Times New Roman" w:hAnsi="Times New Roman" w:eastAsia="宋体" w:cs="Times New Roman"/>
          <w:kern w:val="0"/>
          <w:szCs w:val="22"/>
        </w:rPr>
        <w:t>风险筛选值，</w:t>
      </w:r>
      <w:r>
        <w:rPr>
          <w:rFonts w:ascii="Times New Roman" w:hAnsi="Times New Roman" w:eastAsia="宋体" w:cs="Times New Roman"/>
          <w:kern w:val="0"/>
          <w:szCs w:val="22"/>
        </w:rPr>
        <w:t>标准限值见表6.6-1</w:t>
      </w:r>
      <w:r>
        <w:rPr>
          <w:rFonts w:hint="eastAsia" w:ascii="Times New Roman" w:hAnsi="Times New Roman" w:eastAsia="宋体" w:cs="Times New Roman"/>
          <w:kern w:val="0"/>
          <w:szCs w:val="22"/>
        </w:rPr>
        <w:t>。</w:t>
      </w:r>
    </w:p>
    <w:p>
      <w:pPr>
        <w:spacing w:line="440" w:lineRule="exact"/>
        <w:ind w:firstLine="482" w:firstLineChars="200"/>
        <w:jc w:val="center"/>
        <w:rPr>
          <w:rFonts w:ascii="Times New Roman" w:hAnsi="Times New Roman" w:eastAsia="宋体" w:cs="Times New Roman"/>
          <w:b/>
          <w:bCs/>
          <w:color w:val="000000"/>
        </w:rPr>
      </w:pPr>
      <w:r>
        <w:rPr>
          <w:rFonts w:ascii="Times New Roman" w:hAnsi="Times New Roman" w:eastAsia="宋体" w:cs="Times New Roman"/>
          <w:b/>
          <w:bCs/>
          <w:color w:val="000000"/>
        </w:rPr>
        <w:t xml:space="preserve">表6.6-1 </w:t>
      </w:r>
      <w:r>
        <w:rPr>
          <w:rFonts w:hint="eastAsia" w:ascii="Times New Roman" w:hAnsi="Times New Roman" w:eastAsia="宋体" w:cs="Times New Roman"/>
          <w:b/>
          <w:bCs/>
          <w:color w:val="000000"/>
        </w:rPr>
        <w:t xml:space="preserve"> </w:t>
      </w:r>
      <w:r>
        <w:rPr>
          <w:rFonts w:ascii="Times New Roman" w:hAnsi="Times New Roman" w:eastAsia="宋体" w:cs="Times New Roman"/>
          <w:b/>
          <w:bCs/>
          <w:color w:val="000000"/>
        </w:rPr>
        <w:t>农用地土壤污染风险筛选值</w:t>
      </w:r>
      <w:r>
        <w:rPr>
          <w:rFonts w:hint="eastAsia" w:ascii="Times New Roman" w:hAnsi="Times New Roman" w:eastAsia="宋体" w:cs="Times New Roman"/>
          <w:b/>
          <w:bCs/>
          <w:color w:val="000000"/>
        </w:rPr>
        <w:t xml:space="preserve">  </w:t>
      </w:r>
      <w:r>
        <w:rPr>
          <w:rFonts w:ascii="Times New Roman" w:hAnsi="Times New Roman" w:eastAsia="宋体" w:cs="Times New Roman"/>
          <w:b/>
          <w:bCs/>
          <w:color w:val="000000"/>
        </w:rPr>
        <w:tab/>
      </w:r>
      <w:r>
        <w:rPr>
          <w:rFonts w:ascii="Times New Roman" w:hAnsi="Times New Roman" w:eastAsia="宋体" w:cs="Times New Roman"/>
          <w:b/>
          <w:bCs/>
          <w:color w:val="000000"/>
        </w:rPr>
        <w:t>单位：mg/kg</w:t>
      </w:r>
    </w:p>
    <w:tbl>
      <w:tblPr>
        <w:tblStyle w:val="47"/>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4"/>
        <w:gridCol w:w="1560"/>
        <w:gridCol w:w="3263"/>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674" w:type="dxa"/>
            <w:vMerge w:val="restart"/>
            <w:vAlign w:val="center"/>
          </w:tcPr>
          <w:p>
            <w:pPr>
              <w:spacing w:line="36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560" w:type="dxa"/>
            <w:vMerge w:val="restart"/>
            <w:vAlign w:val="center"/>
          </w:tcPr>
          <w:p>
            <w:pPr>
              <w:spacing w:line="36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污染项目</w:t>
            </w:r>
          </w:p>
        </w:tc>
        <w:tc>
          <w:tcPr>
            <w:tcW w:w="6290" w:type="dxa"/>
            <w:gridSpan w:val="2"/>
            <w:vAlign w:val="center"/>
          </w:tcPr>
          <w:p>
            <w:pPr>
              <w:spacing w:line="36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Merge w:val="continue"/>
            <w:vAlign w:val="center"/>
          </w:tcPr>
          <w:p>
            <w:pPr>
              <w:spacing w:line="360" w:lineRule="exact"/>
              <w:jc w:val="center"/>
              <w:rPr>
                <w:rFonts w:ascii="Times New Roman" w:hAnsi="Times New Roman" w:eastAsia="宋体" w:cs="Times New Roman"/>
                <w:sz w:val="21"/>
                <w:szCs w:val="21"/>
              </w:rPr>
            </w:pPr>
          </w:p>
        </w:tc>
        <w:tc>
          <w:tcPr>
            <w:tcW w:w="1560" w:type="dxa"/>
            <w:vMerge w:val="continue"/>
            <w:vAlign w:val="center"/>
          </w:tcPr>
          <w:p>
            <w:pPr>
              <w:spacing w:line="360" w:lineRule="exact"/>
              <w:jc w:val="center"/>
              <w:rPr>
                <w:rFonts w:ascii="Times New Roman" w:hAnsi="Times New Roman" w:eastAsia="宋体" w:cs="Times New Roman"/>
                <w:sz w:val="21"/>
                <w:szCs w:val="21"/>
              </w:rPr>
            </w:pP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第一类用地</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Align w:val="center"/>
          </w:tcPr>
          <w:p>
            <w:pPr>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560"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砷</w:t>
            </w: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560"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镉</w:t>
            </w: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560"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铜</w:t>
            </w: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560"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铅</w:t>
            </w: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74"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560"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汞</w:t>
            </w:r>
          </w:p>
        </w:tc>
        <w:tc>
          <w:tcPr>
            <w:tcW w:w="3263"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3027" w:type="dxa"/>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r>
    </w:tbl>
    <w:p>
      <w:pPr>
        <w:spacing w:line="360" w:lineRule="auto"/>
        <w:ind w:firstLine="480" w:firstLineChars="200"/>
        <w:rPr>
          <w:rFonts w:hint="eastAsia" w:ascii="Times New Roman" w:hAnsi="Times New Roman" w:eastAsia="宋体" w:cs="Times New Roman"/>
        </w:rPr>
      </w:pPr>
    </w:p>
    <w:p>
      <w:pPr>
        <w:pStyle w:val="2"/>
        <w:rPr>
          <w:rFonts w:cs="Times New Roman"/>
        </w:rPr>
      </w:pPr>
      <w:r>
        <w:rPr>
          <w:rFonts w:cs="Times New Roman"/>
        </w:rPr>
        <w:br w:type="page"/>
      </w:r>
      <w:bookmarkStart w:id="162" w:name="_Toc102039308"/>
      <w:bookmarkStart w:id="163" w:name="_Toc21503"/>
      <w:bookmarkStart w:id="164" w:name="_Toc497987622"/>
      <w:bookmarkStart w:id="165" w:name="_Toc497926014"/>
      <w:bookmarkStart w:id="166" w:name="_Toc497988065"/>
      <w:bookmarkStart w:id="167" w:name="_Toc497987784"/>
      <w:bookmarkStart w:id="168" w:name="_Toc23204"/>
      <w:r>
        <w:rPr>
          <w:rFonts w:cs="Times New Roman"/>
        </w:rPr>
        <w:t>7 验收监测内容</w:t>
      </w:r>
      <w:bookmarkEnd w:id="162"/>
      <w:bookmarkEnd w:id="163"/>
      <w:bookmarkEnd w:id="164"/>
      <w:bookmarkEnd w:id="165"/>
      <w:bookmarkEnd w:id="166"/>
      <w:bookmarkEnd w:id="167"/>
      <w:bookmarkEnd w:id="168"/>
    </w:p>
    <w:p>
      <w:pPr>
        <w:widowControl/>
        <w:adjustRightInd w:val="0"/>
        <w:snapToGrid w:val="0"/>
        <w:spacing w:line="460" w:lineRule="exact"/>
        <w:ind w:firstLine="480" w:firstLineChars="200"/>
        <w:jc w:val="left"/>
        <w:rPr>
          <w:rFonts w:ascii="Times New Roman" w:hAnsi="Times New Roman" w:eastAsia="宋体" w:cs="Times New Roman"/>
          <w:b/>
          <w:bCs/>
        </w:rPr>
      </w:pPr>
      <w:r>
        <w:rPr>
          <w:rFonts w:ascii="Times New Roman" w:hAnsi="Times New Roman" w:eastAsia="宋体" w:cs="Times New Roman"/>
          <w:kern w:val="0"/>
          <w:szCs w:val="21"/>
        </w:rPr>
        <w:t>根据项目污染物源强特点，结合《重庆市建设项目环境影响评价文件批准书》渝（</w:t>
      </w:r>
      <w:r>
        <w:rPr>
          <w:rFonts w:hint="eastAsia" w:ascii="Times New Roman" w:hAnsi="Times New Roman" w:eastAsia="宋体" w:cs="Times New Roman"/>
          <w:kern w:val="0"/>
          <w:szCs w:val="21"/>
        </w:rPr>
        <w:t>合</w:t>
      </w:r>
      <w:r>
        <w:rPr>
          <w:rFonts w:ascii="Times New Roman" w:hAnsi="Times New Roman" w:eastAsia="宋体" w:cs="Times New Roman"/>
          <w:kern w:val="0"/>
          <w:szCs w:val="21"/>
        </w:rPr>
        <w:t>）环准〔2021〕</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14号）、《合川区尹发家庭农场巴渝土杂猪养殖项目环境影响报告</w:t>
      </w:r>
      <w:r>
        <w:rPr>
          <w:rFonts w:hint="eastAsia" w:ascii="Times New Roman" w:hAnsi="Times New Roman" w:eastAsia="宋体" w:cs="Times New Roman"/>
          <w:kern w:val="0"/>
          <w:szCs w:val="21"/>
        </w:rPr>
        <w:t>书</w:t>
      </w:r>
      <w:r>
        <w:rPr>
          <w:rFonts w:ascii="Times New Roman" w:hAnsi="Times New Roman" w:eastAsia="宋体" w:cs="Times New Roman"/>
          <w:kern w:val="0"/>
          <w:szCs w:val="21"/>
        </w:rPr>
        <w:t>》及其竣工环境保护验收监测一览表的相关要求，确定本</w:t>
      </w:r>
      <w:r>
        <w:rPr>
          <w:rFonts w:hint="eastAsia" w:ascii="Times New Roman" w:hAnsi="Times New Roman" w:eastAsia="宋体" w:cs="Times New Roman"/>
          <w:kern w:val="0"/>
          <w:szCs w:val="21"/>
        </w:rPr>
        <w:t>次</w:t>
      </w:r>
      <w:r>
        <w:rPr>
          <w:rFonts w:ascii="Times New Roman" w:hAnsi="Times New Roman" w:eastAsia="宋体" w:cs="Times New Roman"/>
          <w:kern w:val="0"/>
          <w:szCs w:val="21"/>
        </w:rPr>
        <w:t>竣工环境保护验收监测内容。</w:t>
      </w:r>
    </w:p>
    <w:p>
      <w:pPr>
        <w:pStyle w:val="3"/>
        <w:rPr>
          <w:rFonts w:cs="Times New Roman"/>
        </w:rPr>
      </w:pPr>
      <w:bookmarkStart w:id="169" w:name="_Toc29996"/>
      <w:bookmarkStart w:id="170" w:name="_Toc31182"/>
      <w:bookmarkStart w:id="171" w:name="_Toc102039309"/>
      <w:r>
        <w:rPr>
          <w:rFonts w:cs="Times New Roman"/>
        </w:rPr>
        <w:t>7.1废水</w:t>
      </w:r>
      <w:bookmarkEnd w:id="169"/>
      <w:bookmarkEnd w:id="170"/>
      <w:bookmarkEnd w:id="171"/>
    </w:p>
    <w:p>
      <w:pPr>
        <w:spacing w:line="360" w:lineRule="auto"/>
        <w:ind w:firstLine="482"/>
        <w:rPr>
          <w:rFonts w:ascii="Times New Roman" w:hAnsi="Times New Roman" w:cs="Times New Roman"/>
        </w:rPr>
      </w:pPr>
      <w:r>
        <w:rPr>
          <w:rFonts w:hint="eastAsia" w:ascii="Times New Roman" w:hAnsi="Times New Roman" w:cs="Times New Roman"/>
        </w:rPr>
        <w:t>本</w:t>
      </w:r>
      <w:r>
        <w:rPr>
          <w:rFonts w:ascii="Times New Roman" w:hAnsi="Times New Roman" w:cs="Times New Roman"/>
        </w:rPr>
        <w:t>废水</w:t>
      </w:r>
      <w:r>
        <w:rPr>
          <w:rFonts w:hint="eastAsia" w:ascii="Times New Roman" w:hAnsi="Times New Roman" w:cs="Times New Roman"/>
        </w:rPr>
        <w:t>还田，无外排废水</w:t>
      </w:r>
      <w:r>
        <w:rPr>
          <w:rFonts w:ascii="Times New Roman" w:hAnsi="Times New Roman" w:cs="Times New Roman"/>
        </w:rPr>
        <w:t>。</w:t>
      </w:r>
    </w:p>
    <w:p>
      <w:pPr>
        <w:pStyle w:val="3"/>
        <w:rPr>
          <w:rFonts w:cs="Times New Roman"/>
        </w:rPr>
      </w:pPr>
      <w:bookmarkStart w:id="172" w:name="_Toc102039310"/>
      <w:bookmarkStart w:id="173" w:name="_Toc1698"/>
      <w:bookmarkStart w:id="174" w:name="_Toc5664"/>
      <w:r>
        <w:rPr>
          <w:rFonts w:cs="Times New Roman"/>
        </w:rPr>
        <w:t>7.2废气</w:t>
      </w:r>
      <w:bookmarkEnd w:id="172"/>
      <w:bookmarkEnd w:id="173"/>
      <w:bookmarkEnd w:id="174"/>
    </w:p>
    <w:p>
      <w:pPr>
        <w:spacing w:line="360" w:lineRule="auto"/>
        <w:ind w:firstLine="482"/>
        <w:rPr>
          <w:rFonts w:ascii="Times New Roman" w:hAnsi="Times New Roman" w:cs="Times New Roman"/>
        </w:rPr>
      </w:pPr>
      <w:r>
        <w:rPr>
          <w:rFonts w:ascii="Times New Roman" w:hAnsi="Times New Roman" w:cs="Times New Roman"/>
        </w:rPr>
        <w:t>无组织废气监测因子和频次、点位见表7.2-1。</w:t>
      </w:r>
    </w:p>
    <w:p>
      <w:pPr>
        <w:pStyle w:val="72"/>
        <w:spacing w:line="360" w:lineRule="auto"/>
        <w:ind w:firstLine="482"/>
        <w:jc w:val="center"/>
        <w:rPr>
          <w:rFonts w:ascii="Times New Roman" w:hAnsi="Times New Roman" w:eastAsia="宋体" w:cs="Times New Roman"/>
          <w:b/>
          <w:bCs/>
        </w:rPr>
      </w:pPr>
      <w:r>
        <w:rPr>
          <w:rFonts w:hint="default" w:ascii="Times New Roman" w:hAnsi="Times New Roman" w:eastAsia="宋体" w:cs="Times New Roman"/>
          <w:b/>
          <w:color w:val="auto"/>
          <w:sz w:val="24"/>
          <w:szCs w:val="24"/>
        </w:rPr>
        <w:t xml:space="preserve">表7.2-1 </w:t>
      </w:r>
      <w:r>
        <w:rPr>
          <w:rFonts w:ascii="Times New Roman" w:hAnsi="Times New Roman" w:eastAsia="宋体" w:cs="Times New Roman"/>
          <w:b/>
          <w:bCs/>
        </w:rPr>
        <w:t>无组织废气监测因子和频次、点位</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923"/>
        <w:gridCol w:w="1606"/>
        <w:gridCol w:w="1417"/>
        <w:gridCol w:w="85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0"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类别</w:t>
            </w:r>
          </w:p>
        </w:tc>
        <w:tc>
          <w:tcPr>
            <w:tcW w:w="923"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污染源</w:t>
            </w:r>
          </w:p>
        </w:tc>
        <w:tc>
          <w:tcPr>
            <w:tcW w:w="1606"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监测点位</w:t>
            </w:r>
          </w:p>
        </w:tc>
        <w:tc>
          <w:tcPr>
            <w:tcW w:w="1417"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监测因子</w:t>
            </w:r>
          </w:p>
        </w:tc>
        <w:tc>
          <w:tcPr>
            <w:tcW w:w="851"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监测频次</w:t>
            </w:r>
          </w:p>
        </w:tc>
        <w:tc>
          <w:tcPr>
            <w:tcW w:w="2891" w:type="dxa"/>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40" w:type="dxa"/>
            <w:vAlign w:val="center"/>
          </w:tcPr>
          <w:p>
            <w:pPr>
              <w:adjustRightInd w:val="0"/>
              <w:snapToGrid w:val="0"/>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废气无组织</w:t>
            </w:r>
          </w:p>
        </w:tc>
        <w:tc>
          <w:tcPr>
            <w:tcW w:w="923" w:type="dxa"/>
            <w:vAlign w:val="center"/>
          </w:tcPr>
          <w:p>
            <w:pPr>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w:t>
            </w:r>
          </w:p>
        </w:tc>
        <w:tc>
          <w:tcPr>
            <w:tcW w:w="1606" w:type="dxa"/>
            <w:vAlign w:val="center"/>
          </w:tcPr>
          <w:p>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厂区上风向对照点B</w:t>
            </w:r>
            <w:r>
              <w:rPr>
                <w:rFonts w:ascii="Times New Roman" w:hAnsi="Times New Roman" w:eastAsia="宋体" w:cs="Times New Roman"/>
                <w:sz w:val="21"/>
                <w:szCs w:val="21"/>
              </w:rPr>
              <w:t>1</w:t>
            </w:r>
            <w:r>
              <w:rPr>
                <w:rFonts w:hint="eastAsia" w:ascii="Times New Roman" w:hAnsi="Times New Roman" w:eastAsia="宋体" w:cs="Times New Roman"/>
                <w:sz w:val="21"/>
                <w:szCs w:val="21"/>
              </w:rPr>
              <w:t>、下风向监控点B</w:t>
            </w:r>
            <w:r>
              <w:rPr>
                <w:rFonts w:ascii="Times New Roman" w:hAnsi="Times New Roman" w:eastAsia="宋体" w:cs="Times New Roman"/>
                <w:sz w:val="21"/>
                <w:szCs w:val="21"/>
              </w:rPr>
              <w:t>2</w:t>
            </w:r>
          </w:p>
        </w:tc>
        <w:tc>
          <w:tcPr>
            <w:tcW w:w="1417"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hint="eastAsia" w:ascii="Times New Roman" w:hAnsi="Times New Roman" w:eastAsia="宋体" w:cs="Times New Roman"/>
                <w:sz w:val="21"/>
                <w:szCs w:val="21"/>
              </w:rPr>
              <w:t>、臭气浓度</w:t>
            </w:r>
          </w:p>
        </w:tc>
        <w:tc>
          <w:tcPr>
            <w:tcW w:w="851"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2天；4次/天</w:t>
            </w:r>
          </w:p>
        </w:tc>
        <w:tc>
          <w:tcPr>
            <w:tcW w:w="2891" w:type="dxa"/>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《畜禽养殖业污染物排放标准》（GB18596-2001）、《恶臭污染物排放标准》（GB14554-93）厂界二级标准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40" w:type="dxa"/>
            <w:vAlign w:val="center"/>
          </w:tcPr>
          <w:p>
            <w:pPr>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环境敏感点</w:t>
            </w:r>
          </w:p>
        </w:tc>
        <w:tc>
          <w:tcPr>
            <w:tcW w:w="923" w:type="dxa"/>
            <w:vAlign w:val="center"/>
          </w:tcPr>
          <w:p>
            <w:pPr>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厂区</w:t>
            </w:r>
          </w:p>
        </w:tc>
        <w:tc>
          <w:tcPr>
            <w:tcW w:w="1606" w:type="dxa"/>
            <w:vAlign w:val="center"/>
          </w:tcPr>
          <w:p>
            <w:pPr>
              <w:widowControl/>
              <w:adjustRightInd w:val="0"/>
              <w:snapToGrid w:val="0"/>
              <w:spacing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周围环境敏感点B</w:t>
            </w:r>
            <w:r>
              <w:rPr>
                <w:rFonts w:ascii="Times New Roman" w:hAnsi="Times New Roman" w:eastAsia="宋体" w:cs="Times New Roman"/>
                <w:sz w:val="21"/>
                <w:szCs w:val="21"/>
              </w:rPr>
              <w:t>3</w:t>
            </w:r>
          </w:p>
        </w:tc>
        <w:tc>
          <w:tcPr>
            <w:tcW w:w="1417"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851"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2天；4次/天</w:t>
            </w:r>
          </w:p>
        </w:tc>
        <w:tc>
          <w:tcPr>
            <w:tcW w:w="2891" w:type="dxa"/>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《环境影响评价技术导则 大气环境》（HJ2.2-2018）附录D</w:t>
            </w:r>
          </w:p>
        </w:tc>
      </w:tr>
    </w:tbl>
    <w:p>
      <w:pPr>
        <w:pStyle w:val="3"/>
        <w:rPr>
          <w:rFonts w:cs="Times New Roman"/>
        </w:rPr>
      </w:pPr>
      <w:bookmarkStart w:id="175" w:name="_Toc29437"/>
      <w:bookmarkStart w:id="176" w:name="_Toc102039311"/>
      <w:bookmarkStart w:id="177" w:name="_Toc30500"/>
      <w:r>
        <w:rPr>
          <w:rFonts w:cs="Times New Roman"/>
        </w:rPr>
        <w:t>7.3噪声</w:t>
      </w:r>
      <w:bookmarkEnd w:id="175"/>
      <w:bookmarkEnd w:id="176"/>
      <w:bookmarkEnd w:id="177"/>
    </w:p>
    <w:p>
      <w:pPr>
        <w:spacing w:line="360" w:lineRule="auto"/>
        <w:ind w:firstLine="482"/>
        <w:rPr>
          <w:rFonts w:ascii="Times New Roman" w:hAnsi="Times New Roman" w:eastAsia="宋体" w:cs="Times New Roman"/>
          <w:b/>
        </w:rPr>
      </w:pPr>
      <w:r>
        <w:rPr>
          <w:rFonts w:ascii="Times New Roman" w:hAnsi="Times New Roman" w:cs="Times New Roman"/>
        </w:rPr>
        <w:t>根据现场情况分析，本次验收对噪声的监测内容如下：</w:t>
      </w:r>
    </w:p>
    <w:p>
      <w:pPr>
        <w:pStyle w:val="72"/>
        <w:spacing w:line="360" w:lineRule="auto"/>
        <w:ind w:firstLine="48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表7.3-1 噪声监测内容</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921"/>
        <w:gridCol w:w="2006"/>
        <w:gridCol w:w="1008"/>
        <w:gridCol w:w="1165"/>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424" w:type="pct"/>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类别</w:t>
            </w:r>
          </w:p>
        </w:tc>
        <w:tc>
          <w:tcPr>
            <w:tcW w:w="540" w:type="pct"/>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污染源</w:t>
            </w:r>
          </w:p>
        </w:tc>
        <w:tc>
          <w:tcPr>
            <w:tcW w:w="1176" w:type="pct"/>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环保设施及采样点位</w:t>
            </w:r>
          </w:p>
        </w:tc>
        <w:tc>
          <w:tcPr>
            <w:tcW w:w="591" w:type="pct"/>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监测因子</w:t>
            </w:r>
          </w:p>
        </w:tc>
        <w:tc>
          <w:tcPr>
            <w:tcW w:w="683" w:type="pct"/>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监测频次</w:t>
            </w:r>
          </w:p>
        </w:tc>
        <w:tc>
          <w:tcPr>
            <w:tcW w:w="1586" w:type="pct"/>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424" w:type="pc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噪声</w:t>
            </w:r>
          </w:p>
        </w:tc>
        <w:tc>
          <w:tcPr>
            <w:tcW w:w="540" w:type="pc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设备、猪叫声</w:t>
            </w:r>
          </w:p>
        </w:tc>
        <w:tc>
          <w:tcPr>
            <w:tcW w:w="1176" w:type="pc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C</w:t>
            </w:r>
            <w:r>
              <w:rPr>
                <w:rFonts w:ascii="Times New Roman" w:hAnsi="Times New Roman" w:eastAsia="宋体" w:cs="Times New Roman"/>
                <w:sz w:val="22"/>
                <w:szCs w:val="22"/>
              </w:rPr>
              <w:t>1</w:t>
            </w:r>
            <w:r>
              <w:rPr>
                <w:rFonts w:hint="eastAsia" w:ascii="Times New Roman" w:hAnsi="Times New Roman" w:eastAsia="宋体" w:cs="Times New Roman"/>
                <w:sz w:val="22"/>
                <w:szCs w:val="22"/>
              </w:rPr>
              <w:t>、C</w:t>
            </w:r>
            <w:r>
              <w:rPr>
                <w:rFonts w:ascii="Times New Roman" w:hAnsi="Times New Roman" w:eastAsia="宋体" w:cs="Times New Roman"/>
                <w:sz w:val="22"/>
                <w:szCs w:val="22"/>
              </w:rPr>
              <w:t>2</w:t>
            </w:r>
            <w:r>
              <w:rPr>
                <w:rFonts w:hint="eastAsia" w:ascii="Times New Roman" w:hAnsi="Times New Roman" w:eastAsia="宋体" w:cs="Times New Roman"/>
                <w:sz w:val="22"/>
                <w:szCs w:val="22"/>
              </w:rPr>
              <w:t>、C</w:t>
            </w:r>
            <w:r>
              <w:rPr>
                <w:rFonts w:ascii="Times New Roman" w:hAnsi="Times New Roman" w:eastAsia="宋体" w:cs="Times New Roman"/>
                <w:sz w:val="22"/>
                <w:szCs w:val="22"/>
              </w:rPr>
              <w:t>3</w:t>
            </w:r>
            <w:r>
              <w:rPr>
                <w:rFonts w:hint="eastAsia" w:ascii="Times New Roman" w:hAnsi="Times New Roman" w:eastAsia="宋体" w:cs="Times New Roman"/>
                <w:sz w:val="22"/>
                <w:szCs w:val="22"/>
              </w:rPr>
              <w:t>、C</w:t>
            </w:r>
            <w:r>
              <w:rPr>
                <w:rFonts w:ascii="Times New Roman" w:hAnsi="Times New Roman" w:eastAsia="宋体" w:cs="Times New Roman"/>
                <w:sz w:val="22"/>
                <w:szCs w:val="22"/>
              </w:rPr>
              <w:t>4</w:t>
            </w:r>
          </w:p>
        </w:tc>
        <w:tc>
          <w:tcPr>
            <w:tcW w:w="591" w:type="pct"/>
            <w:vAlign w:val="center"/>
          </w:tcPr>
          <w:p>
            <w:pPr>
              <w:rPr>
                <w:rFonts w:ascii="Times New Roman" w:hAnsi="Times New Roman" w:eastAsia="宋体" w:cs="Times New Roman"/>
                <w:sz w:val="22"/>
                <w:szCs w:val="22"/>
              </w:rPr>
            </w:pPr>
            <w:r>
              <w:rPr>
                <w:rFonts w:hint="eastAsia" w:ascii="Times New Roman" w:hAnsi="Times New Roman" w:eastAsia="宋体" w:cs="Times New Roman"/>
                <w:sz w:val="22"/>
                <w:szCs w:val="22"/>
              </w:rPr>
              <w:t>厂界噪声</w:t>
            </w:r>
          </w:p>
        </w:tc>
        <w:tc>
          <w:tcPr>
            <w:tcW w:w="683" w:type="pc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昼夜各一次，2日</w:t>
            </w:r>
          </w:p>
        </w:tc>
        <w:tc>
          <w:tcPr>
            <w:tcW w:w="1586" w:type="pct"/>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《工业企业厂界环境噪声排放标准》（</w:t>
            </w:r>
            <w:r>
              <w:rPr>
                <w:rFonts w:ascii="Times New Roman" w:hAnsi="Times New Roman" w:eastAsia="宋体" w:cs="Times New Roman"/>
                <w:sz w:val="22"/>
                <w:szCs w:val="22"/>
              </w:rPr>
              <w:t>GB12348-2008）2类</w:t>
            </w:r>
          </w:p>
        </w:tc>
      </w:tr>
    </w:tbl>
    <w:p>
      <w:pPr>
        <w:pStyle w:val="3"/>
        <w:rPr>
          <w:rFonts w:cs="Times New Roman"/>
        </w:rPr>
      </w:pPr>
      <w:bookmarkStart w:id="178" w:name="_Toc497988068"/>
      <w:bookmarkStart w:id="179" w:name="_Toc497987624"/>
      <w:bookmarkStart w:id="180" w:name="_Toc497926017"/>
      <w:bookmarkStart w:id="181" w:name="_Toc497987787"/>
      <w:r>
        <w:rPr>
          <w:rFonts w:hint="eastAsia" w:cs="Times New Roman"/>
        </w:rPr>
        <w:t>7</w:t>
      </w:r>
      <w:r>
        <w:rPr>
          <w:rFonts w:cs="Times New Roman"/>
        </w:rPr>
        <w:t xml:space="preserve">.4 </w:t>
      </w:r>
      <w:r>
        <w:rPr>
          <w:rFonts w:hint="eastAsia" w:cs="Times New Roman"/>
        </w:rPr>
        <w:t>地下水</w:t>
      </w:r>
    </w:p>
    <w:p>
      <w:pPr>
        <w:autoSpaceDE w:val="0"/>
        <w:autoSpaceDN w:val="0"/>
        <w:adjustRightInd w:val="0"/>
        <w:spacing w:line="420" w:lineRule="exact"/>
        <w:ind w:firstLine="480" w:firstLineChars="200"/>
        <w:jc w:val="left"/>
        <w:rPr>
          <w:rFonts w:ascii="Times New Roman" w:hAnsi="Times New Roman" w:eastAsia="宋体" w:cs="Times New Roman"/>
        </w:rPr>
      </w:pPr>
      <w:r>
        <w:rPr>
          <w:rFonts w:hint="eastAsia" w:ascii="Times New Roman" w:hAnsi="Times New Roman" w:eastAsia="宋体" w:cs="Times New Roman"/>
        </w:rPr>
        <w:t>地下水监测因子和频次、点位见表7</w:t>
      </w:r>
      <w:r>
        <w:rPr>
          <w:rFonts w:ascii="Times New Roman" w:hAnsi="Times New Roman" w:eastAsia="宋体" w:cs="Times New Roman"/>
        </w:rPr>
        <w:t>.4-1</w:t>
      </w:r>
      <w:r>
        <w:rPr>
          <w:rFonts w:hint="eastAsia" w:ascii="Times New Roman" w:hAnsi="Times New Roman" w:eastAsia="宋体" w:cs="Times New Roman"/>
        </w:rPr>
        <w:t>，采样布点示意见附图。</w:t>
      </w:r>
    </w:p>
    <w:p>
      <w:pPr>
        <w:autoSpaceDE w:val="0"/>
        <w:autoSpaceDN w:val="0"/>
        <w:adjustRightInd w:val="0"/>
        <w:spacing w:line="420" w:lineRule="exact"/>
        <w:ind w:firstLine="482" w:firstLineChars="200"/>
        <w:jc w:val="center"/>
        <w:rPr>
          <w:rFonts w:ascii="Times New Roman" w:hAnsi="Times New Roman" w:eastAsia="宋体" w:cs="Times New Roman"/>
          <w:b/>
          <w:bCs/>
        </w:rPr>
      </w:pPr>
      <w:r>
        <w:rPr>
          <w:rFonts w:hint="eastAsia" w:ascii="Times New Roman" w:hAnsi="Times New Roman" w:eastAsia="宋体" w:cs="Times New Roman"/>
          <w:b/>
          <w:bCs/>
        </w:rPr>
        <w:t>表7</w:t>
      </w:r>
      <w:r>
        <w:rPr>
          <w:rFonts w:ascii="Times New Roman" w:hAnsi="Times New Roman" w:eastAsia="宋体" w:cs="Times New Roman"/>
          <w:b/>
          <w:bCs/>
        </w:rPr>
        <w:t xml:space="preserve">.4-1  </w:t>
      </w:r>
      <w:r>
        <w:rPr>
          <w:rFonts w:hint="eastAsia" w:ascii="Times New Roman" w:hAnsi="Times New Roman" w:eastAsia="宋体" w:cs="Times New Roman"/>
          <w:b/>
          <w:bCs/>
        </w:rPr>
        <w:t>地下水监测因子和频次、点位</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08"/>
        <w:gridCol w:w="1843"/>
        <w:gridCol w:w="3119"/>
        <w:gridCol w:w="11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类别</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污染源</w:t>
            </w:r>
          </w:p>
        </w:tc>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31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监测因子</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监测频次</w:t>
            </w:r>
          </w:p>
        </w:tc>
        <w:tc>
          <w:tcPr>
            <w:tcW w:w="11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exact"/>
          <w:jc w:val="center"/>
        </w:trPr>
        <w:tc>
          <w:tcPr>
            <w:tcW w:w="534"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地下水</w:t>
            </w:r>
          </w:p>
        </w:tc>
        <w:tc>
          <w:tcPr>
            <w:tcW w:w="708"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场地内</w:t>
            </w:r>
            <w:r>
              <w:rPr>
                <w:rFonts w:ascii="Times New Roman" w:hAnsi="Times New Roman" w:eastAsia="宋体" w:cs="Times New Roman"/>
                <w:sz w:val="21"/>
                <w:szCs w:val="21"/>
              </w:rPr>
              <w:t>1#</w:t>
            </w:r>
            <w:r>
              <w:rPr>
                <w:rFonts w:hint="eastAsia" w:ascii="Times New Roman" w:hAnsi="Times New Roman" w:eastAsia="宋体" w:cs="Times New Roman"/>
                <w:sz w:val="21"/>
                <w:szCs w:val="21"/>
              </w:rPr>
              <w:t>监控井（场地北侧）</w:t>
            </w:r>
            <w:r>
              <w:rPr>
                <w:rFonts w:ascii="Times New Roman" w:hAnsi="Times New Roman" w:eastAsia="宋体" w:cs="Times New Roman"/>
                <w:sz w:val="21"/>
                <w:szCs w:val="21"/>
              </w:rPr>
              <w:t>DXW1</w:t>
            </w:r>
          </w:p>
        </w:tc>
        <w:tc>
          <w:tcPr>
            <w:tcW w:w="3119"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pH、氨氮、耗氧量（COD</w:t>
            </w:r>
            <w:r>
              <w:rPr>
                <w:rFonts w:ascii="Times New Roman" w:hAnsi="Times New Roman" w:eastAsia="宋体" w:cs="Times New Roman"/>
                <w:sz w:val="21"/>
                <w:szCs w:val="21"/>
                <w:vertAlign w:val="subscript"/>
              </w:rPr>
              <w:t>Mn</w:t>
            </w:r>
            <w:r>
              <w:rPr>
                <w:rFonts w:ascii="Times New Roman" w:hAnsi="Times New Roman" w:eastAsia="宋体" w:cs="Times New Roman"/>
                <w:sz w:val="21"/>
                <w:szCs w:val="21"/>
              </w:rPr>
              <w:t>法，以O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计）、总硬度、溶解性总固体、氯化物、总大肠菌群、硫酸盐、硝酸盐、亚硝酸盐、六价铬、铁、锰、铜、锌、硒、镉</w:t>
            </w:r>
          </w:p>
        </w:tc>
        <w:tc>
          <w:tcPr>
            <w:tcW w:w="1134"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取</w:t>
            </w:r>
            <w:r>
              <w:rPr>
                <w:rFonts w:ascii="Times New Roman" w:hAnsi="Times New Roman" w:eastAsia="宋体" w:cs="Times New Roman"/>
                <w:sz w:val="21"/>
                <w:szCs w:val="21"/>
              </w:rPr>
              <w:t>1</w:t>
            </w:r>
            <w:r>
              <w:rPr>
                <w:rFonts w:hint="eastAsia" w:ascii="Times New Roman" w:hAnsi="Times New Roman" w:eastAsia="宋体" w:cs="Times New Roman"/>
                <w:sz w:val="21"/>
                <w:szCs w:val="21"/>
              </w:rPr>
              <w:t>个样，测</w:t>
            </w:r>
            <w:r>
              <w:rPr>
                <w:rFonts w:ascii="Times New Roman" w:hAnsi="Times New Roman" w:eastAsia="宋体" w:cs="Times New Roman"/>
                <w:sz w:val="21"/>
                <w:szCs w:val="21"/>
              </w:rPr>
              <w:t>1</w:t>
            </w:r>
            <w:r>
              <w:rPr>
                <w:rFonts w:hint="eastAsia" w:ascii="Times New Roman" w:hAnsi="Times New Roman" w:eastAsia="宋体" w:cs="Times New Roman"/>
                <w:sz w:val="21"/>
                <w:szCs w:val="21"/>
              </w:rPr>
              <w:t>次</w:t>
            </w:r>
          </w:p>
        </w:tc>
        <w:tc>
          <w:tcPr>
            <w:tcW w:w="1190"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《地下水质量标准》（GB/T14848 -2017）Ⅲ类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exact"/>
          <w:jc w:val="center"/>
        </w:trPr>
        <w:tc>
          <w:tcPr>
            <w:tcW w:w="534"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p>
        </w:tc>
        <w:tc>
          <w:tcPr>
            <w:tcW w:w="708"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场地上游</w:t>
            </w:r>
            <w:r>
              <w:rPr>
                <w:rFonts w:ascii="Times New Roman" w:hAnsi="Times New Roman" w:eastAsia="宋体" w:cs="Times New Roman"/>
                <w:sz w:val="21"/>
                <w:szCs w:val="21"/>
              </w:rPr>
              <w:t>2#</w:t>
            </w:r>
            <w:r>
              <w:rPr>
                <w:rFonts w:hint="eastAsia" w:ascii="Times New Roman" w:hAnsi="Times New Roman" w:eastAsia="宋体" w:cs="Times New Roman"/>
                <w:sz w:val="21"/>
                <w:szCs w:val="21"/>
              </w:rPr>
              <w:t>对照井（场地东南侧农户）</w:t>
            </w:r>
            <w:r>
              <w:rPr>
                <w:rFonts w:ascii="Times New Roman" w:hAnsi="Times New Roman" w:eastAsia="宋体" w:cs="Times New Roman"/>
                <w:sz w:val="21"/>
                <w:szCs w:val="21"/>
              </w:rPr>
              <w:t>DXW2</w:t>
            </w:r>
          </w:p>
        </w:tc>
        <w:tc>
          <w:tcPr>
            <w:tcW w:w="3119"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21"/>
              </w:rPr>
            </w:pPr>
          </w:p>
        </w:tc>
        <w:tc>
          <w:tcPr>
            <w:tcW w:w="1134"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p>
        </w:tc>
        <w:tc>
          <w:tcPr>
            <w:tcW w:w="1190"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z w:val="21"/>
                <w:szCs w:val="21"/>
              </w:rPr>
            </w:pPr>
          </w:p>
        </w:tc>
      </w:tr>
    </w:tbl>
    <w:p>
      <w:pPr>
        <w:pStyle w:val="3"/>
        <w:rPr>
          <w:rFonts w:cs="Times New Roman"/>
        </w:rPr>
      </w:pPr>
      <w:r>
        <w:rPr>
          <w:rFonts w:hint="eastAsia" w:cs="Times New Roman"/>
        </w:rPr>
        <w:t>7</w:t>
      </w:r>
      <w:r>
        <w:rPr>
          <w:rFonts w:cs="Times New Roman"/>
        </w:rPr>
        <w:t xml:space="preserve">.5 </w:t>
      </w:r>
      <w:r>
        <w:rPr>
          <w:rFonts w:hint="eastAsia" w:cs="Times New Roman"/>
        </w:rPr>
        <w:t>土壤</w:t>
      </w:r>
    </w:p>
    <w:p>
      <w:pPr>
        <w:autoSpaceDE w:val="0"/>
        <w:autoSpaceDN w:val="0"/>
        <w:adjustRightInd w:val="0"/>
        <w:spacing w:line="420" w:lineRule="exact"/>
        <w:ind w:firstLine="480" w:firstLineChars="200"/>
        <w:jc w:val="left"/>
        <w:rPr>
          <w:rFonts w:ascii="Times New Roman" w:hAnsi="Times New Roman" w:eastAsia="宋体" w:cs="Times New Roman"/>
        </w:rPr>
      </w:pPr>
      <w:r>
        <w:rPr>
          <w:rFonts w:hint="eastAsia" w:ascii="Times New Roman" w:hAnsi="Times New Roman" w:eastAsia="宋体" w:cs="Times New Roman"/>
        </w:rPr>
        <w:t>土壤监测因子和频次、点位见表7</w:t>
      </w:r>
      <w:r>
        <w:rPr>
          <w:rFonts w:ascii="Times New Roman" w:hAnsi="Times New Roman" w:eastAsia="宋体" w:cs="Times New Roman"/>
        </w:rPr>
        <w:t>.5-1</w:t>
      </w:r>
      <w:r>
        <w:rPr>
          <w:rFonts w:hint="eastAsia" w:ascii="Times New Roman" w:hAnsi="Times New Roman" w:eastAsia="宋体" w:cs="Times New Roman"/>
        </w:rPr>
        <w:t>，采样布点示意见附图。</w:t>
      </w:r>
    </w:p>
    <w:p>
      <w:pPr>
        <w:autoSpaceDE w:val="0"/>
        <w:autoSpaceDN w:val="0"/>
        <w:adjustRightInd w:val="0"/>
        <w:spacing w:line="420" w:lineRule="exact"/>
        <w:ind w:firstLine="482" w:firstLineChars="200"/>
        <w:jc w:val="center"/>
        <w:rPr>
          <w:rFonts w:ascii="Times New Roman" w:hAnsi="Times New Roman" w:eastAsia="宋体" w:cs="Times New Roman"/>
          <w:b/>
          <w:bCs/>
        </w:rPr>
      </w:pPr>
      <w:r>
        <w:rPr>
          <w:rFonts w:hint="eastAsia" w:ascii="Times New Roman" w:hAnsi="Times New Roman" w:eastAsia="宋体" w:cs="Times New Roman"/>
          <w:b/>
          <w:bCs/>
        </w:rPr>
        <w:t>表7</w:t>
      </w:r>
      <w:r>
        <w:rPr>
          <w:rFonts w:ascii="Times New Roman" w:hAnsi="Times New Roman" w:eastAsia="宋体" w:cs="Times New Roman"/>
          <w:b/>
          <w:bCs/>
        </w:rPr>
        <w:t xml:space="preserve">.5-1  </w:t>
      </w:r>
      <w:r>
        <w:rPr>
          <w:rFonts w:hint="eastAsia" w:ascii="Times New Roman" w:hAnsi="Times New Roman" w:eastAsia="宋体" w:cs="Times New Roman"/>
          <w:b/>
          <w:bCs/>
        </w:rPr>
        <w:t>地下水监测因子和频次、点位</w:t>
      </w:r>
    </w:p>
    <w:tbl>
      <w:tblPr>
        <w:tblStyle w:val="47"/>
        <w:tblW w:w="45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223"/>
        <w:gridCol w:w="1560"/>
        <w:gridCol w:w="1559"/>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7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类别</w:t>
            </w:r>
          </w:p>
        </w:tc>
        <w:tc>
          <w:tcPr>
            <w:tcW w:w="1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监测点位</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监测因子</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监测频次</w:t>
            </w:r>
          </w:p>
        </w:tc>
        <w:tc>
          <w:tcPr>
            <w:tcW w:w="265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ascii="Times New Roman" w:hAnsi="Times New Roman" w:eastAsia="宋体" w:cs="Times New Roman"/>
                <w:sz w:val="21"/>
                <w:szCs w:val="18"/>
              </w:rPr>
            </w:pPr>
            <w:r>
              <w:rPr>
                <w:rFonts w:hint="eastAsia" w:ascii="Times New Roman" w:hAnsi="Times New Roman" w:eastAsia="宋体" w:cs="Times New Roman"/>
                <w:sz w:val="21"/>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土壤</w:t>
            </w:r>
          </w:p>
        </w:tc>
        <w:tc>
          <w:tcPr>
            <w:tcW w:w="122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厂区四周</w:t>
            </w:r>
            <w:r>
              <w:rPr>
                <w:rFonts w:ascii="Times New Roman" w:hAnsi="Times New Roman" w:eastAsia="宋体" w:cs="Times New Roman"/>
                <w:sz w:val="21"/>
                <w:szCs w:val="18"/>
              </w:rPr>
              <w:t>S1</w:t>
            </w:r>
            <w:r>
              <w:rPr>
                <w:rFonts w:hint="eastAsia" w:ascii="Times New Roman" w:hAnsi="Times New Roman" w:eastAsia="宋体" w:cs="Times New Roman"/>
                <w:sz w:val="21"/>
                <w:szCs w:val="18"/>
              </w:rPr>
              <w:t>、</w:t>
            </w:r>
            <w:r>
              <w:rPr>
                <w:rFonts w:ascii="Times New Roman" w:hAnsi="Times New Roman" w:eastAsia="宋体" w:cs="Times New Roman"/>
                <w:sz w:val="21"/>
                <w:szCs w:val="18"/>
              </w:rPr>
              <w:t>S2</w:t>
            </w:r>
            <w:r>
              <w:rPr>
                <w:rFonts w:hint="eastAsia" w:ascii="Times New Roman" w:hAnsi="Times New Roman" w:eastAsia="宋体" w:cs="Times New Roman"/>
                <w:sz w:val="21"/>
                <w:szCs w:val="18"/>
              </w:rPr>
              <w:t>、</w:t>
            </w:r>
            <w:r>
              <w:rPr>
                <w:rFonts w:ascii="Times New Roman" w:hAnsi="Times New Roman" w:eastAsia="宋体" w:cs="Times New Roman"/>
                <w:sz w:val="21"/>
                <w:szCs w:val="18"/>
              </w:rPr>
              <w:t>S3</w:t>
            </w:r>
            <w:r>
              <w:rPr>
                <w:rFonts w:hint="eastAsia" w:ascii="Times New Roman" w:hAnsi="Times New Roman" w:eastAsia="宋体" w:cs="Times New Roman"/>
                <w:sz w:val="21"/>
                <w:szCs w:val="18"/>
              </w:rPr>
              <w:t>、</w:t>
            </w:r>
            <w:r>
              <w:rPr>
                <w:rFonts w:ascii="Times New Roman" w:hAnsi="Times New Roman" w:eastAsia="宋体" w:cs="Times New Roman"/>
                <w:sz w:val="21"/>
                <w:szCs w:val="18"/>
              </w:rPr>
              <w:t>S4</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ascii="Times New Roman" w:hAnsi="Times New Roman" w:eastAsia="宋体" w:cs="Times New Roman"/>
                <w:sz w:val="21"/>
                <w:szCs w:val="18"/>
              </w:rPr>
              <w:t>pH 值、砷、铜、镉、汞、铅、锌、铬</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z w:val="21"/>
                <w:szCs w:val="18"/>
              </w:rPr>
            </w:pPr>
            <w:r>
              <w:rPr>
                <w:rFonts w:hint="eastAsia" w:ascii="Times New Roman" w:hAnsi="Times New Roman" w:eastAsia="宋体" w:cs="Times New Roman"/>
                <w:sz w:val="21"/>
                <w:szCs w:val="18"/>
              </w:rPr>
              <w:t>取</w:t>
            </w:r>
            <w:r>
              <w:rPr>
                <w:rFonts w:ascii="Times New Roman" w:hAnsi="Times New Roman" w:eastAsia="宋体" w:cs="Times New Roman"/>
                <w:sz w:val="21"/>
                <w:szCs w:val="18"/>
              </w:rPr>
              <w:t>1</w:t>
            </w:r>
            <w:r>
              <w:rPr>
                <w:rFonts w:hint="eastAsia" w:ascii="Times New Roman" w:hAnsi="Times New Roman" w:eastAsia="宋体" w:cs="Times New Roman"/>
                <w:sz w:val="21"/>
                <w:szCs w:val="18"/>
              </w:rPr>
              <w:t>个样，测</w:t>
            </w:r>
            <w:r>
              <w:rPr>
                <w:rFonts w:ascii="Times New Roman" w:hAnsi="Times New Roman" w:eastAsia="宋体" w:cs="Times New Roman"/>
                <w:sz w:val="21"/>
                <w:szCs w:val="18"/>
              </w:rPr>
              <w:t>1</w:t>
            </w:r>
            <w:r>
              <w:rPr>
                <w:rFonts w:hint="eastAsia" w:ascii="Times New Roman" w:hAnsi="Times New Roman" w:eastAsia="宋体" w:cs="Times New Roman"/>
                <w:sz w:val="21"/>
                <w:szCs w:val="18"/>
              </w:rPr>
              <w:t>次</w:t>
            </w:r>
          </w:p>
        </w:tc>
        <w:tc>
          <w:tcPr>
            <w:tcW w:w="265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eastAsia" w:ascii="Times New Roman" w:hAnsi="Times New Roman" w:eastAsia="宋体" w:cs="Times New Roman"/>
                <w:sz w:val="21"/>
                <w:szCs w:val="18"/>
              </w:rPr>
            </w:pPr>
            <w:r>
              <w:rPr>
                <w:rFonts w:hint="eastAsia" w:ascii="Times New Roman" w:hAnsi="Times New Roman" w:eastAsia="宋体" w:cs="Times New Roman"/>
                <w:sz w:val="21"/>
                <w:szCs w:val="18"/>
              </w:rPr>
              <w:t>《土壤环境质量  建设用地土壤污染风险管控标准（试行）》（GB15618-2018）中建设用地土壤污染风险筛选值</w:t>
            </w:r>
          </w:p>
        </w:tc>
      </w:tr>
    </w:tbl>
    <w:p>
      <w:pPr>
        <w:spacing w:line="360" w:lineRule="auto"/>
        <w:ind w:firstLine="480"/>
        <w:rPr>
          <w:rFonts w:ascii="Times New Roman" w:hAnsi="Times New Roman" w:cs="Times New Roman"/>
        </w:rPr>
      </w:pPr>
      <w:r>
        <w:rPr>
          <w:rFonts w:ascii="Times New Roman" w:hAnsi="Times New Roman" w:eastAsia="宋体" w:cs="Times New Roman"/>
        </w:rPr>
        <w:t>监测布点示意图见</w:t>
      </w:r>
      <w:r>
        <w:rPr>
          <w:rFonts w:hint="eastAsia" w:ascii="Times New Roman" w:hAnsi="Times New Roman" w:eastAsia="宋体" w:cs="Times New Roman"/>
        </w:rPr>
        <w:t>附图</w:t>
      </w:r>
      <w:r>
        <w:rPr>
          <w:rFonts w:ascii="Times New Roman" w:hAnsi="Times New Roman" w:eastAsia="宋体" w:cs="Times New Roman"/>
        </w:rPr>
        <w:t>4</w:t>
      </w:r>
      <w:r>
        <w:rPr>
          <w:rFonts w:hint="eastAsia" w:ascii="Times New Roman" w:hAnsi="Times New Roman" w:eastAsia="宋体" w:cs="Times New Roman"/>
        </w:rPr>
        <w:t>。</w:t>
      </w:r>
    </w:p>
    <w:p>
      <w:pPr>
        <w:pStyle w:val="18"/>
        <w:rPr>
          <w:rFonts w:ascii="Times New Roman" w:hAnsi="Times New Roman" w:cs="Times New Roman"/>
        </w:rPr>
        <w:sectPr>
          <w:headerReference r:id="rId4" w:type="default"/>
          <w:pgSz w:w="11906" w:h="16838"/>
          <w:pgMar w:top="1440" w:right="1797" w:bottom="1440" w:left="1797" w:header="851" w:footer="510" w:gutter="0"/>
          <w:cols w:space="720" w:num="1"/>
          <w:docGrid w:type="lines" w:linePitch="312" w:charSpace="0"/>
        </w:sectPr>
      </w:pPr>
    </w:p>
    <w:p>
      <w:pPr>
        <w:pStyle w:val="2"/>
        <w:rPr>
          <w:rFonts w:cs="Times New Roman"/>
        </w:rPr>
      </w:pPr>
      <w:bookmarkStart w:id="182" w:name="_Toc2012"/>
      <w:bookmarkStart w:id="183" w:name="_Toc3242"/>
      <w:bookmarkStart w:id="184" w:name="_Toc102039312"/>
      <w:r>
        <w:rPr>
          <w:rFonts w:cs="Times New Roman"/>
        </w:rPr>
        <w:t>8 质量保证及质量控制</w:t>
      </w:r>
      <w:bookmarkEnd w:id="178"/>
      <w:bookmarkEnd w:id="179"/>
      <w:bookmarkEnd w:id="180"/>
      <w:bookmarkEnd w:id="181"/>
      <w:bookmarkEnd w:id="182"/>
      <w:bookmarkEnd w:id="183"/>
      <w:bookmarkEnd w:id="184"/>
    </w:p>
    <w:p>
      <w:pPr>
        <w:pStyle w:val="3"/>
        <w:rPr>
          <w:rFonts w:cs="Times New Roman"/>
        </w:rPr>
      </w:pPr>
      <w:bookmarkStart w:id="185" w:name="_Toc500494668"/>
      <w:bookmarkStart w:id="186" w:name="_Toc8344"/>
      <w:bookmarkStart w:id="187" w:name="_Toc102039313"/>
      <w:bookmarkStart w:id="188" w:name="_Toc31068"/>
      <w:r>
        <w:rPr>
          <w:rFonts w:cs="Times New Roman"/>
        </w:rPr>
        <w:t>8.1</w:t>
      </w:r>
      <w:bookmarkEnd w:id="185"/>
      <w:r>
        <w:rPr>
          <w:rFonts w:cs="Times New Roman"/>
        </w:rPr>
        <w:t>监测分析方法</w:t>
      </w:r>
      <w:bookmarkEnd w:id="186"/>
      <w:bookmarkEnd w:id="187"/>
      <w:bookmarkEnd w:id="188"/>
    </w:p>
    <w:p>
      <w:pPr>
        <w:spacing w:line="360" w:lineRule="auto"/>
        <w:jc w:val="center"/>
        <w:rPr>
          <w:rFonts w:ascii="Times New Roman" w:hAnsi="Times New Roman" w:cs="Times New Roman"/>
          <w:b/>
          <w:bCs/>
        </w:rPr>
      </w:pPr>
      <w:r>
        <w:rPr>
          <w:rFonts w:ascii="Times New Roman" w:hAnsi="Times New Roman" w:cs="Times New Roman"/>
          <w:b/>
          <w:bCs/>
        </w:rPr>
        <w:t>表8.1-1 监测分析方法一览表</w:t>
      </w:r>
    </w:p>
    <w:tbl>
      <w:tblPr>
        <w:tblStyle w:val="47"/>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410"/>
        <w:gridCol w:w="5009"/>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0" w:type="dxa"/>
            <w:vAlign w:val="center"/>
          </w:tcPr>
          <w:p>
            <w:pPr>
              <w:ind w:left="-120" w:leftChars="-50" w:right="-120" w:rightChars="-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检测类型</w:t>
            </w:r>
          </w:p>
        </w:tc>
        <w:tc>
          <w:tcPr>
            <w:tcW w:w="1410" w:type="dxa"/>
            <w:vAlign w:val="center"/>
          </w:tcPr>
          <w:p>
            <w:pPr>
              <w:ind w:left="-120" w:leftChars="-50" w:right="-120" w:rightChars="-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检测项目</w:t>
            </w:r>
          </w:p>
        </w:tc>
        <w:tc>
          <w:tcPr>
            <w:tcW w:w="5009" w:type="dxa"/>
            <w:vAlign w:val="center"/>
          </w:tcPr>
          <w:p>
            <w:pPr>
              <w:ind w:left="-120" w:leftChars="-50" w:right="-120" w:rightChars="-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检测方法</w:t>
            </w:r>
          </w:p>
        </w:tc>
        <w:tc>
          <w:tcPr>
            <w:tcW w:w="2087" w:type="dxa"/>
            <w:vAlign w:val="center"/>
          </w:tcPr>
          <w:p>
            <w:pPr>
              <w:ind w:left="-120" w:leftChars="-50" w:right="-120" w:rightChars="-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restart"/>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地下水</w:t>
            </w:r>
          </w:p>
        </w:tc>
        <w:tc>
          <w:tcPr>
            <w:tcW w:w="1410"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水质 pH值的测定 电极法 </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溶解性总固体</w:t>
            </w:r>
          </w:p>
        </w:tc>
        <w:tc>
          <w:tcPr>
            <w:tcW w:w="5009"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生活饮用水标准检验方法 </w:t>
            </w:r>
            <w:r>
              <w:rPr>
                <w:rFonts w:ascii="Times New Roman" w:hAnsi="Times New Roman" w:eastAsia="宋体" w:cs="Times New Roman"/>
                <w:kern w:val="0"/>
                <w:sz w:val="21"/>
                <w:szCs w:val="21"/>
              </w:rPr>
              <w:t>第4部分：</w:t>
            </w:r>
            <w:r>
              <w:rPr>
                <w:rFonts w:ascii="Times New Roman" w:hAnsi="Times New Roman" w:eastAsia="宋体" w:cs="Times New Roman"/>
                <w:sz w:val="21"/>
                <w:szCs w:val="21"/>
              </w:rPr>
              <w:t>感官性状和物理指标（11.1溶解性总固体 称量法）</w:t>
            </w:r>
          </w:p>
        </w:tc>
        <w:tc>
          <w:tcPr>
            <w:tcW w:w="2087"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GB/T 5750.4-2023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氯化物、硫酸盐、硝酸盐（以N计</w:t>
            </w:r>
          </w:p>
        </w:tc>
        <w:tc>
          <w:tcPr>
            <w:tcW w:w="5009" w:type="dxa"/>
            <w:vAlign w:val="center"/>
          </w:tcPr>
          <w:p>
            <w:pPr>
              <w:adjustRightIn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水质 无机阴离子（F</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、Cl</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、Br</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）的测定 离子色谱法</w:t>
            </w:r>
          </w:p>
        </w:tc>
        <w:tc>
          <w:tcPr>
            <w:tcW w:w="2087" w:type="dxa"/>
            <w:vAlign w:val="center"/>
          </w:tcPr>
          <w:p>
            <w:pPr>
              <w:adjustRightInd w:val="0"/>
              <w:spacing w:line="240" w:lineRule="atLeast"/>
              <w:jc w:val="center"/>
              <w:rPr>
                <w:rFonts w:ascii="Times New Roman" w:hAnsi="Times New Roman" w:eastAsia="宋体" w:cs="Times New Roman"/>
                <w:sz w:val="21"/>
                <w:szCs w:val="21"/>
              </w:rPr>
            </w:pPr>
            <w:r>
              <w:rPr>
                <w:rFonts w:ascii="Times New Roman" w:hAnsi="Times New Roman" w:eastAsia="宋体" w:cs="Times New Roman"/>
                <w:sz w:val="21"/>
                <w:szCs w:val="21"/>
              </w:rPr>
              <w:t>HJ 84-2016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高锰酸盐指数（以O</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计）</w:t>
            </w:r>
          </w:p>
        </w:tc>
        <w:tc>
          <w:tcPr>
            <w:tcW w:w="5009" w:type="dxa"/>
            <w:vAlign w:val="center"/>
          </w:tcPr>
          <w:p>
            <w:pPr>
              <w:adjustRightInd w:val="0"/>
              <w:snapToGrid w:val="0"/>
              <w:jc w:val="center"/>
              <w:rPr>
                <w:rFonts w:ascii="Times New Roman" w:hAnsi="Times New Roman" w:eastAsia="宋体" w:cs="Times New Roman"/>
                <w:b/>
                <w:bCs/>
                <w:sz w:val="21"/>
                <w:szCs w:val="21"/>
              </w:rPr>
            </w:pPr>
            <w:r>
              <w:rPr>
                <w:rFonts w:ascii="Times New Roman" w:hAnsi="Times New Roman" w:eastAsia="宋体" w:cs="Times New Roman"/>
                <w:kern w:val="0"/>
                <w:sz w:val="21"/>
                <w:szCs w:val="21"/>
              </w:rPr>
              <w:t>生活饮用水标准检验方法 第7部分：有机物综合指标（4.1 高锰酸盐指数 酸性高锰酸钾滴定法）</w:t>
            </w:r>
          </w:p>
        </w:tc>
        <w:tc>
          <w:tcPr>
            <w:tcW w:w="2087"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GB/T 5750.7-2023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氨氮（以N计）</w:t>
            </w:r>
          </w:p>
        </w:tc>
        <w:tc>
          <w:tcPr>
            <w:tcW w:w="5009"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水质 氨氮的测定 纳氏试剂分光光度法</w:t>
            </w:r>
          </w:p>
        </w:tc>
        <w:tc>
          <w:tcPr>
            <w:tcW w:w="2087"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总大肠菌群</w:t>
            </w:r>
          </w:p>
        </w:tc>
        <w:tc>
          <w:tcPr>
            <w:tcW w:w="5009"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生活饮用水标准检验方法 第12部分：微生物指标 </w:t>
            </w:r>
          </w:p>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（5.1 总大肠菌群 多管发酵法）</w:t>
            </w:r>
          </w:p>
        </w:tc>
        <w:tc>
          <w:tcPr>
            <w:tcW w:w="2087"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GB/T 5750.12-2023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亚硝酸盐</w:t>
            </w:r>
          </w:p>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（以N计）</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水质 亚硝酸盐氮的测定 分光光度法</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GB/T 7493-1987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总硬度（以CaCO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计）</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水质 钙和镁总量的测定 EDTA滴定法</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GB/T 7477-1987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铬（六价）</w:t>
            </w:r>
          </w:p>
        </w:tc>
        <w:tc>
          <w:tcPr>
            <w:tcW w:w="5009"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生活饮用水标准检验方法 第6部分：金属指标</w:t>
            </w:r>
          </w:p>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（13.1 铬（六价） 二苯碳酰二肼分光光度法）</w:t>
            </w:r>
          </w:p>
        </w:tc>
        <w:tc>
          <w:tcPr>
            <w:tcW w:w="2087" w:type="dxa"/>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GB/T 5750.6-2023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铁、锰、锌、铜</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水质 32种元素的测定 电感耦合等离子发射光谱法 </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776-2015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镉</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水质 65种元素的测定 电感耦合等离子体质谱法</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700-2014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硒</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水质 汞、砷、硒、铋、锑的测定 原子荧光法</w:t>
            </w:r>
          </w:p>
        </w:tc>
        <w:tc>
          <w:tcPr>
            <w:tcW w:w="2087"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694-2014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臭和味</w:t>
            </w:r>
          </w:p>
        </w:tc>
        <w:tc>
          <w:tcPr>
            <w:tcW w:w="5009" w:type="dxa"/>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生活饮用水标准检验方法 </w:t>
            </w:r>
            <w:r>
              <w:rPr>
                <w:rFonts w:ascii="Times New Roman" w:hAnsi="Times New Roman" w:eastAsia="宋体" w:cs="Times New Roman"/>
                <w:kern w:val="0"/>
                <w:sz w:val="21"/>
                <w:szCs w:val="21"/>
              </w:rPr>
              <w:t>第4部分：</w:t>
            </w:r>
            <w:r>
              <w:rPr>
                <w:rFonts w:ascii="Times New Roman" w:hAnsi="Times New Roman" w:eastAsia="宋体" w:cs="Times New Roman"/>
                <w:sz w:val="21"/>
                <w:szCs w:val="21"/>
              </w:rPr>
              <w:t>感官性状和物理指标 （6.1 臭和味 嗅气和尝味法）</w:t>
            </w:r>
          </w:p>
        </w:tc>
        <w:tc>
          <w:tcPr>
            <w:tcW w:w="2087" w:type="dxa"/>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GB/T 5750.4-2023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restart"/>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废气</w:t>
            </w:r>
          </w:p>
          <w:p>
            <w:pPr>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无组织</w:t>
            </w:r>
          </w:p>
        </w:tc>
        <w:tc>
          <w:tcPr>
            <w:tcW w:w="1410" w:type="dxa"/>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硫化氢</w:t>
            </w:r>
          </w:p>
        </w:tc>
        <w:tc>
          <w:tcPr>
            <w:tcW w:w="5009" w:type="dxa"/>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color w:val="000000"/>
                <w:sz w:val="21"/>
                <w:szCs w:val="21"/>
              </w:rPr>
              <w:t xml:space="preserve"> 亚甲基蓝分光光度法</w:t>
            </w:r>
          </w:p>
        </w:tc>
        <w:tc>
          <w:tcPr>
            <w:tcW w:w="2087" w:type="dxa"/>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color w:val="000000"/>
                <w:sz w:val="21"/>
                <w:szCs w:val="21"/>
              </w:rPr>
              <w:t>《空气和废气监测分析方法》（第四版）（3.1.11.2）国家环境保护总局（2003年）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氨</w:t>
            </w:r>
          </w:p>
        </w:tc>
        <w:tc>
          <w:tcPr>
            <w:tcW w:w="5009" w:type="dxa"/>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color w:val="000000"/>
                <w:sz w:val="21"/>
                <w:szCs w:val="21"/>
              </w:rPr>
              <w:t>环境空气和废气 氨的测定 纳氏试剂分光光度法</w:t>
            </w:r>
          </w:p>
        </w:tc>
        <w:tc>
          <w:tcPr>
            <w:tcW w:w="2087" w:type="dxa"/>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color w:val="000000"/>
                <w:sz w:val="21"/>
                <w:szCs w:val="21"/>
              </w:rPr>
              <w:t>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p>
        </w:tc>
        <w:tc>
          <w:tcPr>
            <w:tcW w:w="1410" w:type="dxa"/>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臭气浓度</w:t>
            </w:r>
          </w:p>
        </w:tc>
        <w:tc>
          <w:tcPr>
            <w:tcW w:w="5009" w:type="dxa"/>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环境空气和废气 臭气的测定 三点比较式臭袋法 </w:t>
            </w:r>
          </w:p>
        </w:tc>
        <w:tc>
          <w:tcPr>
            <w:tcW w:w="2087" w:type="dxa"/>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 1262-2022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restart"/>
            <w:vAlign w:val="center"/>
          </w:tcPr>
          <w:p>
            <w:pPr>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土壤</w:t>
            </w:r>
          </w:p>
        </w:tc>
        <w:tc>
          <w:tcPr>
            <w:tcW w:w="1410"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镉</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土壤质量 铅、镉的测定 石墨炉原子吸收分光光度法 </w:t>
            </w:r>
          </w:p>
        </w:tc>
        <w:tc>
          <w:tcPr>
            <w:tcW w:w="2087" w:type="dxa"/>
            <w:vAlign w:val="center"/>
          </w:tcPr>
          <w:p>
            <w:pPr>
              <w:adjustRightIn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sz w:val="21"/>
                <w:szCs w:val="21"/>
              </w:rPr>
              <w:t>GB/T 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410"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铜、锌、铅、铬</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土壤和沉积物 无机元素的测定 波长色散X射线荧光光谱法 </w:t>
            </w:r>
          </w:p>
        </w:tc>
        <w:tc>
          <w:tcPr>
            <w:tcW w:w="2087"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HJ 780-2015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410"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汞</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土壤质量 总汞、总砷、总铅的测定 原子荧光法 </w:t>
            </w:r>
          </w:p>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第1部分：土壤中总汞的测定</w:t>
            </w:r>
          </w:p>
        </w:tc>
        <w:tc>
          <w:tcPr>
            <w:tcW w:w="2087" w:type="dxa"/>
            <w:vAlign w:val="center"/>
          </w:tcPr>
          <w:p>
            <w:pPr>
              <w:adjustRightInd w:val="0"/>
              <w:ind w:left="-120" w:leftChars="-50" w:right="-120" w:rightChars="-50"/>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t>GB/T 22105.1-2008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410"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土壤质量 总汞、总砷、总铅的测定 原子荧光法</w:t>
            </w:r>
          </w:p>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第2部分：土壤中总砷的测定 </w:t>
            </w:r>
          </w:p>
        </w:tc>
        <w:tc>
          <w:tcPr>
            <w:tcW w:w="2087" w:type="dxa"/>
            <w:vAlign w:val="center"/>
          </w:tcPr>
          <w:p>
            <w:pPr>
              <w:adjustRightIn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GB/T 22105.2-2008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410" w:type="dxa"/>
            <w:vAlign w:val="center"/>
          </w:tcPr>
          <w:p>
            <w:pPr>
              <w:widowControl/>
              <w:jc w:val="center"/>
              <w:textAlignment w:val="center"/>
              <w:rPr>
                <w:rFonts w:ascii="Times New Roman" w:hAnsi="Times New Roman" w:eastAsia="宋体" w:cs="Times New Roman"/>
                <w:sz w:val="21"/>
                <w:szCs w:val="21"/>
                <w:highlight w:val="green"/>
              </w:rPr>
            </w:pPr>
            <w:r>
              <w:rPr>
                <w:rFonts w:ascii="Times New Roman" w:hAnsi="Times New Roman" w:eastAsia="宋体" w:cs="Times New Roman"/>
                <w:sz w:val="21"/>
                <w:szCs w:val="21"/>
              </w:rPr>
              <w:t>pH值</w:t>
            </w:r>
          </w:p>
        </w:tc>
        <w:tc>
          <w:tcPr>
            <w:tcW w:w="5009" w:type="dxa"/>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土壤 pH值的测定 电位法 </w:t>
            </w:r>
          </w:p>
        </w:tc>
        <w:tc>
          <w:tcPr>
            <w:tcW w:w="2087" w:type="dxa"/>
            <w:vAlign w:val="center"/>
          </w:tcPr>
          <w:p>
            <w:pPr>
              <w:adjustRightInd w:val="0"/>
              <w:ind w:left="-120" w:leftChars="-50" w:right="-120" w:rightChars="-50"/>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t>HJ 962-2018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Merge w:val="continue"/>
            <w:vAlign w:val="center"/>
          </w:tcPr>
          <w:p>
            <w:pPr>
              <w:adjustRightInd w:val="0"/>
              <w:snapToGrid w:val="0"/>
              <w:ind w:left="-120" w:leftChars="-50" w:right="-120" w:rightChars="-50"/>
              <w:jc w:val="center"/>
              <w:rPr>
                <w:rFonts w:ascii="Times New Roman" w:hAnsi="Times New Roman" w:eastAsia="宋体" w:cs="Times New Roman"/>
                <w:sz w:val="21"/>
                <w:szCs w:val="21"/>
                <w:lang w:val="zh-CN"/>
              </w:rPr>
            </w:pPr>
          </w:p>
        </w:tc>
        <w:tc>
          <w:tcPr>
            <w:tcW w:w="1410" w:type="dxa"/>
            <w:vAlign w:val="center"/>
          </w:tcPr>
          <w:p>
            <w:pPr>
              <w:widowControl/>
              <w:jc w:val="center"/>
              <w:textAlignment w:val="center"/>
              <w:rPr>
                <w:rFonts w:ascii="Times New Roman" w:hAnsi="Times New Roman" w:eastAsia="宋体" w:cs="Times New Roman"/>
                <w:sz w:val="21"/>
                <w:szCs w:val="21"/>
                <w:lang w:val="zh-CN"/>
              </w:rPr>
            </w:pPr>
            <w:r>
              <w:rPr>
                <w:rFonts w:ascii="Times New Roman" w:hAnsi="Times New Roman" w:eastAsia="宋体" w:cs="Times New Roman"/>
                <w:color w:val="000000"/>
                <w:kern w:val="0"/>
                <w:sz w:val="22"/>
                <w:szCs w:val="22"/>
                <w:lang w:bidi="ar"/>
              </w:rPr>
              <w:t>干物质</w:t>
            </w:r>
          </w:p>
        </w:tc>
        <w:tc>
          <w:tcPr>
            <w:tcW w:w="5009" w:type="dxa"/>
            <w:vAlign w:val="center"/>
          </w:tcPr>
          <w:p>
            <w:pPr>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t>土壤 干物质和水分的测定 重量法</w:t>
            </w:r>
          </w:p>
        </w:tc>
        <w:tc>
          <w:tcPr>
            <w:tcW w:w="2087" w:type="dxa"/>
            <w:vAlign w:val="center"/>
          </w:tcPr>
          <w:p>
            <w:pPr>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t>HJ 613-2011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vAlign w:val="center"/>
          </w:tcPr>
          <w:p>
            <w:pPr>
              <w:adjustRightInd w:val="0"/>
              <w:snapToGrid w:val="0"/>
              <w:ind w:left="-120" w:leftChars="-50" w:right="-120" w:rightChars="-50"/>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噪声</w:t>
            </w:r>
          </w:p>
        </w:tc>
        <w:tc>
          <w:tcPr>
            <w:tcW w:w="1410" w:type="dxa"/>
            <w:vAlign w:val="center"/>
          </w:tcPr>
          <w:p>
            <w:pPr>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工业企业厂界环境噪声</w:t>
            </w:r>
          </w:p>
        </w:tc>
        <w:tc>
          <w:tcPr>
            <w:tcW w:w="5009" w:type="dxa"/>
            <w:vAlign w:val="center"/>
          </w:tcPr>
          <w:p>
            <w:pPr>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工业企业厂界环境噪声排放标准</w:t>
            </w:r>
          </w:p>
        </w:tc>
        <w:tc>
          <w:tcPr>
            <w:tcW w:w="2087" w:type="dxa"/>
            <w:vAlign w:val="center"/>
          </w:tcPr>
          <w:p>
            <w:pPr>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GB</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zh-CN"/>
              </w:rPr>
              <w:t>12348-2008</w:t>
            </w:r>
          </w:p>
        </w:tc>
      </w:tr>
    </w:tbl>
    <w:p>
      <w:pPr>
        <w:pStyle w:val="3"/>
        <w:rPr>
          <w:rFonts w:cs="Times New Roman"/>
        </w:rPr>
      </w:pPr>
      <w:bookmarkStart w:id="189" w:name="_Toc500494669"/>
      <w:bookmarkStart w:id="190" w:name="_Toc102039314"/>
      <w:bookmarkStart w:id="191" w:name="_Toc15639"/>
      <w:bookmarkStart w:id="192" w:name="_Toc2648"/>
      <w:r>
        <w:rPr>
          <w:rFonts w:cs="Times New Roman"/>
        </w:rPr>
        <w:t>8.2</w:t>
      </w:r>
      <w:bookmarkEnd w:id="189"/>
      <w:r>
        <w:rPr>
          <w:rFonts w:cs="Times New Roman"/>
        </w:rPr>
        <w:t>监测仪器</w:t>
      </w:r>
      <w:bookmarkEnd w:id="190"/>
      <w:bookmarkEnd w:id="191"/>
      <w:bookmarkEnd w:id="192"/>
    </w:p>
    <w:p>
      <w:pPr>
        <w:spacing w:line="360" w:lineRule="auto"/>
        <w:jc w:val="center"/>
        <w:rPr>
          <w:rFonts w:ascii="Times New Roman" w:hAnsi="Times New Roman" w:cs="Times New Roman"/>
          <w:b/>
          <w:bCs/>
        </w:rPr>
      </w:pPr>
      <w:r>
        <w:rPr>
          <w:rFonts w:ascii="Times New Roman" w:hAnsi="Times New Roman" w:cs="Times New Roman"/>
          <w:b/>
          <w:bCs/>
        </w:rPr>
        <w:t>表8.2-1 监测使用仪器一览表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668"/>
        <w:gridCol w:w="3804"/>
        <w:gridCol w:w="1391"/>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4" w:type="dxa"/>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检测类型</w:t>
            </w:r>
          </w:p>
        </w:tc>
        <w:tc>
          <w:tcPr>
            <w:tcW w:w="1668" w:type="dxa"/>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color w:val="000000"/>
                <w:sz w:val="21"/>
                <w:szCs w:val="21"/>
              </w:rPr>
              <w:t>检测项目</w:t>
            </w:r>
          </w:p>
        </w:tc>
        <w:tc>
          <w:tcPr>
            <w:tcW w:w="3804" w:type="dxa"/>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仪器名称及型号</w:t>
            </w:r>
          </w:p>
        </w:tc>
        <w:tc>
          <w:tcPr>
            <w:tcW w:w="1391" w:type="dxa"/>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仪器编号</w:t>
            </w:r>
          </w:p>
        </w:tc>
        <w:tc>
          <w:tcPr>
            <w:tcW w:w="1350" w:type="dxa"/>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restart"/>
            <w:vAlign w:val="center"/>
          </w:tcPr>
          <w:p>
            <w:pPr>
              <w:adjustRightInd w:val="0"/>
              <w:snapToGri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地下水</w:t>
            </w:r>
          </w:p>
        </w:tc>
        <w:tc>
          <w:tcPr>
            <w:tcW w:w="166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便携式酸度计PHS-10</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JSYQ-W320</w:t>
            </w:r>
          </w:p>
        </w:tc>
        <w:tc>
          <w:tcPr>
            <w:tcW w:w="1350" w:type="dxa"/>
            <w:vMerge w:val="restart"/>
            <w:vAlign w:val="center"/>
          </w:tcPr>
          <w:p>
            <w:pPr>
              <w:adjustRightInd w:val="0"/>
              <w:snapToGrid w:val="0"/>
              <w:jc w:val="center"/>
              <w:rPr>
                <w:rFonts w:ascii="Times New Roman" w:hAnsi="Times New Roman" w:eastAsia="宋体" w:cs="Times New Roman"/>
                <w:b/>
                <w:bCs/>
                <w:sz w:val="21"/>
                <w:szCs w:val="21"/>
              </w:rPr>
            </w:pPr>
            <w:r>
              <w:rPr>
                <w:rFonts w:ascii="Times New Roman" w:hAnsi="Times New Roman" w:eastAsia="宋体" w:cs="Times New Roman"/>
                <w:sz w:val="21"/>
                <w:szCs w:val="21"/>
              </w:rPr>
              <w:t>仪器在计量检定/校准有效期内使用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溶解性总固体</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电子天平BT125D</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JSYQ-N045</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氯化物、硫酸盐、硝酸盐（以N计）</w:t>
            </w:r>
          </w:p>
        </w:tc>
        <w:tc>
          <w:tcPr>
            <w:tcW w:w="3804"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离子色谱Aquion</w:t>
            </w:r>
          </w:p>
        </w:tc>
        <w:tc>
          <w:tcPr>
            <w:tcW w:w="1391"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JSYQ-N117</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高锰酸盐指数</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（以O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计）</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棕色酸式滴定管25.00mL</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ZB1910292</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氨氮（以N计）</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可见分光光度计T6新悦</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JSYQ-N002</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总大肠菌群</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恒温恒湿箱LRH-250-S</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JSYQ-N106</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Merge w:val="continue"/>
            <w:vAlign w:val="center"/>
          </w:tcPr>
          <w:p>
            <w:pPr>
              <w:jc w:val="center"/>
              <w:rPr>
                <w:rFonts w:ascii="Times New Roman" w:hAnsi="Times New Roman" w:eastAsia="宋体" w:cs="Times New Roman"/>
                <w:sz w:val="21"/>
                <w:szCs w:val="21"/>
              </w:rPr>
            </w:pP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相差显微镜 BK-PH(DK5000)</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JSYQ-N050</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亚硝酸盐</w:t>
            </w:r>
          </w:p>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（以N计）</w:t>
            </w:r>
          </w:p>
        </w:tc>
        <w:tc>
          <w:tcPr>
            <w:tcW w:w="3804"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可见分光光度计 T6新悦</w:t>
            </w:r>
          </w:p>
        </w:tc>
        <w:tc>
          <w:tcPr>
            <w:tcW w:w="1391"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JSYQ-N085</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总硬度</w:t>
            </w:r>
          </w:p>
          <w:p>
            <w:pPr>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（以CaCO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计）</w:t>
            </w:r>
          </w:p>
        </w:tc>
        <w:tc>
          <w:tcPr>
            <w:tcW w:w="3804"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具塞滴定管50.00mL</w:t>
            </w:r>
          </w:p>
        </w:tc>
        <w:tc>
          <w:tcPr>
            <w:tcW w:w="1391"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ZB1910296</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铬（六价）</w:t>
            </w:r>
          </w:p>
        </w:tc>
        <w:tc>
          <w:tcPr>
            <w:tcW w:w="3804"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可见分光光度计 T6新悦</w:t>
            </w:r>
          </w:p>
        </w:tc>
        <w:tc>
          <w:tcPr>
            <w:tcW w:w="1391" w:type="dxa"/>
            <w:vAlign w:val="center"/>
          </w:tcPr>
          <w:p>
            <w:pPr>
              <w:adjustRightIn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JSYQ-N085</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铁、锰、锌、铜</w:t>
            </w:r>
          </w:p>
        </w:tc>
        <w:tc>
          <w:tcPr>
            <w:tcW w:w="3804"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电感耦合等离子体发射光谱仪5100VDV</w:t>
            </w:r>
          </w:p>
        </w:tc>
        <w:tc>
          <w:tcPr>
            <w:tcW w:w="1391"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JSYQ-N079</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镉</w:t>
            </w:r>
          </w:p>
        </w:tc>
        <w:tc>
          <w:tcPr>
            <w:tcW w:w="3804" w:type="dxa"/>
            <w:vAlign w:val="center"/>
          </w:tcPr>
          <w:p>
            <w:pPr>
              <w:widowControl/>
              <w:ind w:left="-120" w:leftChars="-50" w:right="-120" w:rightChars="-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电感耦合等离子体质谱仪 NexION1000</w:t>
            </w:r>
          </w:p>
        </w:tc>
        <w:tc>
          <w:tcPr>
            <w:tcW w:w="1391" w:type="dxa"/>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JSYQ-N115</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硒</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原子荧光光度计AFS-230E</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JSYQ-N006</w:t>
            </w:r>
          </w:p>
        </w:tc>
        <w:tc>
          <w:tcPr>
            <w:tcW w:w="1350" w:type="dxa"/>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restart"/>
            <w:vAlign w:val="center"/>
          </w:tcPr>
          <w:p>
            <w:pPr>
              <w:adjustRightInd w:val="0"/>
              <w:snapToGri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废气</w:t>
            </w:r>
          </w:p>
          <w:p>
            <w:pPr>
              <w:adjustRightInd w:val="0"/>
              <w:snapToGri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无组织</w:t>
            </w:r>
          </w:p>
        </w:tc>
        <w:tc>
          <w:tcPr>
            <w:tcW w:w="1668" w:type="dxa"/>
            <w:vMerge w:val="restart"/>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氨</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环境空气综合采样器 崂应2050型</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JSYQ-W340</w:t>
            </w:r>
          </w:p>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JSYQ-W339</w:t>
            </w:r>
          </w:p>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JSYQ-W363</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Merge w:val="continue"/>
            <w:vAlign w:val="center"/>
          </w:tcPr>
          <w:p>
            <w:pPr>
              <w:jc w:val="center"/>
              <w:rPr>
                <w:rFonts w:ascii="Times New Roman" w:hAnsi="Times New Roman" w:eastAsia="宋体" w:cs="Times New Roman"/>
                <w:color w:val="000000"/>
                <w:sz w:val="21"/>
                <w:szCs w:val="21"/>
              </w:rPr>
            </w:pP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可见分光光度计T6新悦</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JSYQ-N002</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Merge w:val="restart"/>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硫化氢</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环境空气综合采样器 崂应2050型</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JSYQ-W340</w:t>
            </w:r>
          </w:p>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JSYQ-W339</w:t>
            </w:r>
          </w:p>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JSYQ-W363</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vAlign w:val="center"/>
          </w:tcPr>
          <w:p>
            <w:pPr>
              <w:adjustRightInd w:val="0"/>
              <w:snapToGrid w:val="0"/>
              <w:jc w:val="center"/>
              <w:rPr>
                <w:rFonts w:ascii="Times New Roman" w:hAnsi="Times New Roman" w:eastAsia="宋体" w:cs="Times New Roman"/>
                <w:color w:val="000000"/>
                <w:sz w:val="21"/>
                <w:szCs w:val="21"/>
              </w:rPr>
            </w:pPr>
          </w:p>
        </w:tc>
        <w:tc>
          <w:tcPr>
            <w:tcW w:w="1668" w:type="dxa"/>
            <w:vMerge w:val="continue"/>
            <w:vAlign w:val="center"/>
          </w:tcPr>
          <w:p>
            <w:pPr>
              <w:jc w:val="center"/>
              <w:rPr>
                <w:rFonts w:ascii="Times New Roman" w:hAnsi="Times New Roman" w:eastAsia="宋体" w:cs="Times New Roman"/>
                <w:color w:val="000000"/>
                <w:sz w:val="21"/>
                <w:szCs w:val="21"/>
              </w:rPr>
            </w:pP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可见分光光度计T6新悦</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JSYQ-N002</w:t>
            </w:r>
          </w:p>
        </w:tc>
        <w:tc>
          <w:tcPr>
            <w:tcW w:w="1350" w:type="dxa"/>
            <w:vMerge w:val="continue"/>
            <w:vAlign w:val="center"/>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restart"/>
            <w:vAlign w:val="center"/>
          </w:tcPr>
          <w:p>
            <w:pPr>
              <w:adjustRightInd w:val="0"/>
              <w:snapToGri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土壤</w:t>
            </w:r>
          </w:p>
        </w:tc>
        <w:tc>
          <w:tcPr>
            <w:tcW w:w="1668"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镉</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原子吸收分光光度计 PinAAcle900T</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JSYQ-N101</w:t>
            </w:r>
          </w:p>
        </w:tc>
        <w:tc>
          <w:tcPr>
            <w:tcW w:w="1350" w:type="dxa"/>
            <w:vMerge w:val="restart"/>
            <w:vAlign w:val="center"/>
          </w:tcPr>
          <w:p>
            <w:pPr>
              <w:adjustRightInd w:val="0"/>
              <w:snapToGrid w:val="0"/>
              <w:jc w:val="center"/>
              <w:rPr>
                <w:rFonts w:ascii="Times New Roman" w:hAnsi="Times New Roman" w:eastAsia="宋体" w:cs="Times New Roman"/>
                <w:b/>
                <w:bCs/>
                <w:sz w:val="21"/>
                <w:szCs w:val="21"/>
              </w:rPr>
            </w:pPr>
            <w:r>
              <w:rPr>
                <w:rFonts w:ascii="Times New Roman" w:hAnsi="Times New Roman" w:eastAsia="宋体" w:cs="Times New Roman"/>
                <w:sz w:val="21"/>
                <w:szCs w:val="21"/>
              </w:rPr>
              <w:t>仪器在计量检定/校准有效期内使用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铜、锌、铅、铬</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X射线荧光光谱仪 Axios</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JSYQ-N116</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汞</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原子荧光光度计 AFS-9750</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JSYQ-N206</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原子荧光光度计 AFS-9750</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JSYQ-N165</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widowControl/>
              <w:jc w:val="center"/>
              <w:textAlignment w:val="center"/>
              <w:rPr>
                <w:rFonts w:ascii="Times New Roman" w:hAnsi="Times New Roman" w:eastAsia="宋体" w:cs="Times New Roman"/>
                <w:sz w:val="21"/>
                <w:szCs w:val="21"/>
                <w:highlight w:val="green"/>
              </w:rPr>
            </w:pPr>
            <w:r>
              <w:rPr>
                <w:rFonts w:ascii="Times New Roman" w:hAnsi="Times New Roman" w:eastAsia="宋体" w:cs="Times New Roman"/>
                <w:sz w:val="21"/>
                <w:szCs w:val="21"/>
              </w:rPr>
              <w:t>pH值</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台式酸度计PHS-320</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JSYQ-N196</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2"/>
                <w:szCs w:val="22"/>
                <w:lang w:bidi="ar"/>
              </w:rPr>
              <w:t>干物质</w:t>
            </w:r>
          </w:p>
        </w:tc>
        <w:tc>
          <w:tcPr>
            <w:tcW w:w="3804"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电子天平Scout SE-SE602F</w:t>
            </w:r>
          </w:p>
        </w:tc>
        <w:tc>
          <w:tcPr>
            <w:tcW w:w="1391" w:type="dxa"/>
            <w:vAlign w:val="center"/>
          </w:tcPr>
          <w:p>
            <w:pPr>
              <w:adjustRightInd w:val="0"/>
              <w:jc w:val="center"/>
              <w:rPr>
                <w:rFonts w:ascii="Times New Roman" w:hAnsi="Times New Roman" w:eastAsia="宋体" w:cs="Times New Roman"/>
                <w:sz w:val="21"/>
                <w:szCs w:val="21"/>
              </w:rPr>
            </w:pPr>
            <w:r>
              <w:rPr>
                <w:rFonts w:ascii="Times New Roman" w:hAnsi="Times New Roman" w:eastAsia="宋体" w:cs="Times New Roman"/>
                <w:sz w:val="21"/>
                <w:szCs w:val="21"/>
              </w:rPr>
              <w:t>JSYQ-N128</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restart"/>
            <w:vAlign w:val="center"/>
          </w:tcPr>
          <w:p>
            <w:pPr>
              <w:adjustRightInd w:val="0"/>
              <w:snapToGri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噪声</w:t>
            </w:r>
          </w:p>
        </w:tc>
        <w:tc>
          <w:tcPr>
            <w:tcW w:w="1668" w:type="dxa"/>
            <w:vMerge w:val="restart"/>
            <w:vAlign w:val="center"/>
          </w:tcPr>
          <w:p>
            <w:pPr>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lang w:val="zh-CN"/>
              </w:rPr>
              <w:t>工业企业厂界环境噪声</w:t>
            </w: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多功能声级计AWA6228+</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JSYQ-W346JSYQ-W348</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Merge w:val="continue"/>
          </w:tcPr>
          <w:p>
            <w:pPr>
              <w:adjustRightInd w:val="0"/>
              <w:snapToGrid w:val="0"/>
              <w:jc w:val="center"/>
              <w:rPr>
                <w:rFonts w:ascii="Times New Roman" w:hAnsi="Times New Roman" w:eastAsia="宋体" w:cs="Times New Roman"/>
                <w:color w:val="000000"/>
                <w:sz w:val="21"/>
                <w:szCs w:val="21"/>
              </w:rPr>
            </w:pPr>
          </w:p>
        </w:tc>
        <w:tc>
          <w:tcPr>
            <w:tcW w:w="1668" w:type="dxa"/>
            <w:vMerge w:val="continue"/>
            <w:vAlign w:val="center"/>
          </w:tcPr>
          <w:p>
            <w:pPr>
              <w:ind w:left="-120" w:leftChars="-50" w:right="-120" w:rightChars="-50"/>
              <w:jc w:val="center"/>
              <w:rPr>
                <w:rFonts w:ascii="Times New Roman" w:hAnsi="Times New Roman" w:eastAsia="宋体" w:cs="Times New Roman"/>
                <w:color w:val="000000"/>
                <w:sz w:val="21"/>
                <w:szCs w:val="21"/>
              </w:rPr>
            </w:pPr>
          </w:p>
        </w:tc>
        <w:tc>
          <w:tcPr>
            <w:tcW w:w="3804"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声校准器AWA6021A</w:t>
            </w:r>
          </w:p>
        </w:tc>
        <w:tc>
          <w:tcPr>
            <w:tcW w:w="1391" w:type="dxa"/>
            <w:vAlign w:val="center"/>
          </w:tcPr>
          <w:p>
            <w:pPr>
              <w:adjustRightInd w:val="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JSYQ-W351JSYQ-W352</w:t>
            </w:r>
          </w:p>
        </w:tc>
        <w:tc>
          <w:tcPr>
            <w:tcW w:w="1350" w:type="dxa"/>
            <w:vMerge w:val="continue"/>
          </w:tcPr>
          <w:p>
            <w:pPr>
              <w:adjustRightInd w:val="0"/>
              <w:snapToGrid w:val="0"/>
              <w:jc w:val="center"/>
              <w:rPr>
                <w:rFonts w:ascii="Times New Roman" w:hAnsi="Times New Roman" w:eastAsia="宋体" w:cs="Times New Roman"/>
                <w:b/>
                <w:bCs/>
                <w:sz w:val="21"/>
                <w:szCs w:val="21"/>
              </w:rPr>
            </w:pPr>
          </w:p>
        </w:tc>
      </w:tr>
    </w:tbl>
    <w:p>
      <w:pPr>
        <w:pStyle w:val="3"/>
        <w:rPr>
          <w:rFonts w:cs="Times New Roman"/>
        </w:rPr>
      </w:pPr>
      <w:bookmarkStart w:id="193" w:name="_Toc17196"/>
      <w:bookmarkStart w:id="194" w:name="_Toc24484"/>
      <w:bookmarkStart w:id="195" w:name="_Toc102039315"/>
      <w:r>
        <w:rPr>
          <w:rFonts w:cs="Times New Roman"/>
        </w:rPr>
        <w:t>8.3监测人员</w:t>
      </w:r>
      <w:bookmarkEnd w:id="193"/>
      <w:bookmarkEnd w:id="194"/>
      <w:bookmarkEnd w:id="195"/>
    </w:p>
    <w:p>
      <w:pPr>
        <w:spacing w:line="360" w:lineRule="auto"/>
        <w:jc w:val="center"/>
        <w:rPr>
          <w:rFonts w:ascii="Times New Roman" w:hAnsi="Times New Roman" w:cs="Times New Roman"/>
          <w:b/>
          <w:bCs/>
        </w:rPr>
      </w:pPr>
      <w:r>
        <w:rPr>
          <w:rFonts w:ascii="Times New Roman" w:hAnsi="Times New Roman" w:cs="Times New Roman"/>
          <w:b/>
          <w:bCs/>
        </w:rPr>
        <w:t>表8.3-1 监测人员一览表</w:t>
      </w:r>
    </w:p>
    <w:tbl>
      <w:tblPr>
        <w:tblStyle w:val="4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采样人员</w:t>
            </w:r>
          </w:p>
        </w:tc>
        <w:tc>
          <w:tcPr>
            <w:tcW w:w="7631" w:type="dxa"/>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冉剑锋、张燕玲、向鹏钢、鲁浪洲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分析人员</w:t>
            </w:r>
          </w:p>
        </w:tc>
        <w:tc>
          <w:tcPr>
            <w:tcW w:w="7631" w:type="dxa"/>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方诗越、蒋双苹、谭林静、范军、秦梽雄、文雪梅、</w:t>
            </w:r>
          </w:p>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郑建川、周艳琴、程玲、张宗雪、刘汨、刘东艳、王春波</w:t>
            </w:r>
          </w:p>
        </w:tc>
      </w:tr>
    </w:tbl>
    <w:p>
      <w:pPr>
        <w:pStyle w:val="3"/>
        <w:rPr>
          <w:rFonts w:cs="Times New Roman"/>
        </w:rPr>
      </w:pPr>
      <w:bookmarkStart w:id="196" w:name="_Toc17002"/>
      <w:bookmarkStart w:id="197" w:name="_Toc19312"/>
      <w:bookmarkStart w:id="198" w:name="_Toc102039316"/>
      <w:bookmarkStart w:id="199" w:name="_Toc497987791"/>
      <w:bookmarkStart w:id="200" w:name="_Toc497993150"/>
      <w:bookmarkStart w:id="201" w:name="_Toc497988072"/>
      <w:bookmarkStart w:id="202" w:name="_Toc497926021"/>
      <w:bookmarkStart w:id="203" w:name="_Toc497987628"/>
      <w:r>
        <w:rPr>
          <w:rFonts w:cs="Times New Roman"/>
        </w:rPr>
        <w:t>8.4质量保证</w:t>
      </w:r>
      <w:bookmarkEnd w:id="196"/>
      <w:bookmarkEnd w:id="197"/>
      <w:bookmarkEnd w:id="198"/>
    </w:p>
    <w:p>
      <w:pPr>
        <w:pStyle w:val="4"/>
        <w:rPr>
          <w:rFonts w:cs="Times New Roman"/>
        </w:rPr>
      </w:pPr>
      <w:bookmarkStart w:id="204" w:name="_Toc25523"/>
      <w:r>
        <w:rPr>
          <w:rFonts w:cs="Times New Roman"/>
        </w:rPr>
        <w:t>8.4.1 计量认证</w:t>
      </w:r>
      <w:bookmarkEnd w:id="204"/>
    </w:p>
    <w:p>
      <w:pPr>
        <w:ind w:firstLine="480" w:firstLineChars="200"/>
        <w:rPr>
          <w:rFonts w:ascii="Times New Roman" w:hAnsi="Times New Roman" w:cs="Times New Roman"/>
        </w:rPr>
      </w:pPr>
      <w:r>
        <w:rPr>
          <w:rFonts w:ascii="Times New Roman" w:hAnsi="Times New Roman" w:cs="Times New Roman"/>
        </w:rPr>
        <w:t>验收监测采样、分析仪器均经计量检定合格，且在有效期内使用。</w:t>
      </w:r>
    </w:p>
    <w:p>
      <w:pPr>
        <w:pStyle w:val="4"/>
        <w:rPr>
          <w:rFonts w:cs="Times New Roman"/>
        </w:rPr>
      </w:pPr>
      <w:bookmarkStart w:id="205" w:name="_Toc3644"/>
      <w:r>
        <w:rPr>
          <w:rFonts w:cs="Times New Roman"/>
        </w:rPr>
        <w:t>8.4.2 废水监测分析过程中的质量保证和质量控制</w:t>
      </w:r>
      <w:bookmarkEnd w:id="199"/>
      <w:bookmarkEnd w:id="200"/>
      <w:bookmarkEnd w:id="201"/>
      <w:bookmarkEnd w:id="202"/>
      <w:bookmarkEnd w:id="203"/>
      <w:bookmarkEnd w:id="205"/>
    </w:p>
    <w:p>
      <w:pPr>
        <w:spacing w:line="360" w:lineRule="auto"/>
        <w:ind w:firstLine="480" w:firstLineChars="200"/>
        <w:rPr>
          <w:rFonts w:ascii="Times New Roman" w:hAnsi="Times New Roman" w:cs="Times New Roman"/>
        </w:rPr>
      </w:pPr>
      <w:r>
        <w:rPr>
          <w:rFonts w:hint="eastAsia" w:ascii="Times New Roman" w:hAnsi="Times New Roman" w:cs="Times New Roman"/>
        </w:rPr>
        <w:t>本项目验收监测未采集水样</w:t>
      </w:r>
      <w:r>
        <w:rPr>
          <w:rFonts w:ascii="Times New Roman" w:hAnsi="Times New Roman" w:cs="Times New Roman"/>
        </w:rPr>
        <w:t>。</w:t>
      </w:r>
    </w:p>
    <w:p>
      <w:pPr>
        <w:pStyle w:val="4"/>
        <w:rPr>
          <w:rFonts w:cs="Times New Roman"/>
        </w:rPr>
      </w:pPr>
      <w:bookmarkStart w:id="206" w:name="_Toc24871"/>
      <w:bookmarkStart w:id="207" w:name="_Toc497987792"/>
      <w:bookmarkStart w:id="208" w:name="_Toc497988073"/>
      <w:bookmarkStart w:id="209" w:name="_Toc497993151"/>
      <w:bookmarkStart w:id="210" w:name="_Toc497926022"/>
      <w:bookmarkStart w:id="211" w:name="_Toc497987629"/>
      <w:r>
        <w:rPr>
          <w:rFonts w:cs="Times New Roman"/>
        </w:rPr>
        <w:t>8.4.3 噪声监测分析过程中的质量保证和质量控制</w:t>
      </w:r>
      <w:bookmarkEnd w:id="206"/>
      <w:bookmarkEnd w:id="207"/>
      <w:bookmarkEnd w:id="208"/>
      <w:bookmarkEnd w:id="209"/>
      <w:bookmarkEnd w:id="210"/>
      <w:bookmarkEnd w:id="211"/>
    </w:p>
    <w:p>
      <w:pPr>
        <w:spacing w:line="360" w:lineRule="auto"/>
        <w:ind w:firstLine="480" w:firstLineChars="200"/>
        <w:rPr>
          <w:rFonts w:ascii="Times New Roman" w:hAnsi="Times New Roman" w:cs="Times New Roman"/>
        </w:rPr>
      </w:pPr>
      <w:r>
        <w:rPr>
          <w:rFonts w:ascii="Times New Roman" w:hAnsi="Times New Roman" w:cs="Times New Roman"/>
        </w:rPr>
        <w:t>噪声监测，按照《工业企业厂界环境噪声排放标准》（GB12348-2008)的要求进行，测试前后对声级计进行校准，测量前后灵敏度相差不大于0.5dB。</w:t>
      </w:r>
    </w:p>
    <w:p>
      <w:pPr>
        <w:pStyle w:val="4"/>
        <w:rPr>
          <w:rFonts w:cs="Times New Roman"/>
        </w:rPr>
      </w:pPr>
      <w:bookmarkStart w:id="212" w:name="_Toc14278"/>
      <w:r>
        <w:rPr>
          <w:rFonts w:cs="Times New Roman"/>
        </w:rPr>
        <w:t>8.4.4 废气监测分析过程中的质量保证和质量控制</w:t>
      </w:r>
      <w:bookmarkEnd w:id="212"/>
    </w:p>
    <w:p>
      <w:pPr>
        <w:spacing w:line="360" w:lineRule="auto"/>
        <w:ind w:firstLine="480" w:firstLineChars="200"/>
        <w:rPr>
          <w:rFonts w:ascii="Times New Roman" w:hAnsi="Times New Roman" w:cs="Times New Roman"/>
        </w:rPr>
      </w:pPr>
      <w:r>
        <w:rPr>
          <w:rFonts w:ascii="Times New Roman" w:hAnsi="Times New Roman" w:cs="Times New Roman"/>
        </w:rPr>
        <w:t>气体采集按照《固定污染源监测质量保证与质量控制技术规范》（HJ/T 373-2007）、《固定源废气监测技术规范》（HJ/T 397-2007）、《大气污染物无组织排放监测技术导则》（HJ/T 55-2000）等的要求进行，被测排放物的浓度在仪器测试量程的有效范围即仪器量程的30～70％之间。</w:t>
      </w:r>
    </w:p>
    <w:p>
      <w:pPr>
        <w:spacing w:line="360" w:lineRule="auto"/>
        <w:ind w:firstLine="480" w:firstLineChars="200"/>
        <w:rPr>
          <w:rFonts w:ascii="Times New Roman" w:hAnsi="Times New Roman" w:cs="Times New Roman"/>
        </w:rPr>
      </w:pPr>
      <w:r>
        <w:rPr>
          <w:rFonts w:ascii="Times New Roman" w:hAnsi="Times New Roman" w:cs="Times New Roman"/>
        </w:rPr>
        <w:t>在采样前用标准气体进行了校正，烟尘测试仪在采样前均进行了漏气检验，对采样器流量计、流速计等进行了校核，在测试时保证其采样流量。</w:t>
      </w:r>
    </w:p>
    <w:p>
      <w:pPr>
        <w:pStyle w:val="4"/>
        <w:rPr>
          <w:rFonts w:cs="Times New Roman"/>
        </w:rPr>
      </w:pPr>
      <w:bookmarkStart w:id="213" w:name="_Toc12534"/>
      <w:r>
        <w:rPr>
          <w:rFonts w:cs="Times New Roman"/>
        </w:rPr>
        <w:t>8.4.5 样品管理</w:t>
      </w:r>
      <w:bookmarkEnd w:id="213"/>
      <w:r>
        <w:rPr>
          <w:rFonts w:cs="Times New Roman"/>
        </w:rPr>
        <w:t xml:space="preserve"> </w:t>
      </w:r>
    </w:p>
    <w:p>
      <w:pPr>
        <w:spacing w:line="360" w:lineRule="auto"/>
        <w:ind w:firstLine="480" w:firstLineChars="200"/>
        <w:rPr>
          <w:rFonts w:ascii="Times New Roman" w:hAnsi="Times New Roman" w:cs="Times New Roman"/>
        </w:rPr>
      </w:pPr>
      <w:r>
        <w:rPr>
          <w:rFonts w:ascii="Times New Roman" w:hAnsi="Times New Roman" w:cs="Times New Roman"/>
        </w:rPr>
        <w:t>每个样品应有样品检验状态标签。采样人或收样人负责对样品进行编号，作唯一性识别标识，保证任何时候对样品的识别不发生混淆。样品存放要按照有关技术标准、规范的要求。必要时添加保护剂、避光、冷藏、冷冻等。保证样品在贮存期间不受污染、不变质，标识清楚，账物相符。</w:t>
      </w:r>
    </w:p>
    <w:p>
      <w:pPr>
        <w:pStyle w:val="4"/>
        <w:rPr>
          <w:rFonts w:cs="Times New Roman"/>
        </w:rPr>
      </w:pPr>
      <w:bookmarkStart w:id="214" w:name="_Toc19630"/>
      <w:r>
        <w:rPr>
          <w:rFonts w:cs="Times New Roman"/>
        </w:rPr>
        <w:t>8.4.6 数据审核</w:t>
      </w:r>
      <w:bookmarkEnd w:id="214"/>
    </w:p>
    <w:p>
      <w:pPr>
        <w:spacing w:line="360" w:lineRule="auto"/>
        <w:ind w:firstLine="480" w:firstLineChars="200"/>
        <w:rPr>
          <w:rFonts w:ascii="Times New Roman" w:hAnsi="Times New Roman" w:cs="Times New Roman"/>
        </w:rPr>
        <w:sectPr>
          <w:pgSz w:w="11906" w:h="16838"/>
          <w:pgMar w:top="1440" w:right="1797" w:bottom="1440" w:left="1797" w:header="851" w:footer="510" w:gutter="0"/>
          <w:cols w:space="720" w:num="1"/>
          <w:docGrid w:type="lines" w:linePitch="312" w:charSpace="0"/>
        </w:sectPr>
      </w:pPr>
      <w:r>
        <w:rPr>
          <w:rFonts w:ascii="Times New Roman" w:hAnsi="Times New Roman" w:cs="Times New Roman"/>
        </w:rPr>
        <w:t>监测数据的计算、检验、异常值剔除等按国家标准及《环境监测技术规范》等执行，数据及报告经三级审核合格报出。</w:t>
      </w:r>
    </w:p>
    <w:p>
      <w:pPr>
        <w:pStyle w:val="2"/>
        <w:spacing w:before="0" w:after="0"/>
        <w:rPr>
          <w:rFonts w:cs="Times New Roman"/>
        </w:rPr>
      </w:pPr>
      <w:bookmarkStart w:id="215" w:name="_Toc10330"/>
      <w:bookmarkStart w:id="216" w:name="_Toc497988074"/>
      <w:bookmarkStart w:id="217" w:name="_Toc30629"/>
      <w:bookmarkStart w:id="218" w:name="_Toc497987630"/>
      <w:bookmarkStart w:id="219" w:name="_Toc497987793"/>
      <w:bookmarkStart w:id="220" w:name="_Toc102039317"/>
      <w:bookmarkStart w:id="221" w:name="_Toc497926023"/>
      <w:r>
        <w:rPr>
          <w:rFonts w:cs="Times New Roman"/>
        </w:rPr>
        <w:t>9 验收监测结果</w:t>
      </w:r>
      <w:bookmarkEnd w:id="215"/>
      <w:bookmarkEnd w:id="216"/>
      <w:bookmarkEnd w:id="217"/>
      <w:bookmarkEnd w:id="218"/>
      <w:bookmarkEnd w:id="219"/>
      <w:bookmarkEnd w:id="220"/>
      <w:bookmarkEnd w:id="221"/>
    </w:p>
    <w:p>
      <w:pPr>
        <w:pStyle w:val="3"/>
        <w:spacing w:before="0" w:after="0"/>
        <w:rPr>
          <w:rFonts w:cs="Times New Roman"/>
        </w:rPr>
      </w:pPr>
      <w:bookmarkStart w:id="222" w:name="_Toc497987631"/>
      <w:bookmarkStart w:id="223" w:name="_Toc31434"/>
      <w:bookmarkStart w:id="224" w:name="_Toc497988075"/>
      <w:bookmarkStart w:id="225" w:name="_Toc9830"/>
      <w:bookmarkStart w:id="226" w:name="_Toc497987794"/>
      <w:bookmarkStart w:id="227" w:name="_Toc102039318"/>
      <w:bookmarkStart w:id="228" w:name="_Toc497926024"/>
      <w:r>
        <w:rPr>
          <w:rFonts w:cs="Times New Roman"/>
        </w:rPr>
        <w:t>9.1</w:t>
      </w:r>
      <w:bookmarkEnd w:id="222"/>
      <w:bookmarkEnd w:id="223"/>
      <w:bookmarkEnd w:id="224"/>
      <w:bookmarkEnd w:id="225"/>
      <w:bookmarkEnd w:id="226"/>
      <w:bookmarkEnd w:id="227"/>
      <w:bookmarkEnd w:id="228"/>
      <w:bookmarkStart w:id="229" w:name="_Toc15693"/>
      <w:bookmarkStart w:id="230" w:name="_Toc497987795"/>
      <w:bookmarkStart w:id="231" w:name="_Toc497988076"/>
      <w:bookmarkStart w:id="232" w:name="_Toc14707"/>
      <w:bookmarkStart w:id="233" w:name="_Toc497987632"/>
      <w:bookmarkStart w:id="234" w:name="_Toc497926025"/>
      <w:bookmarkStart w:id="235" w:name="_Toc102039319"/>
      <w:r>
        <w:rPr>
          <w:rFonts w:hint="eastAsia" w:cs="Times New Roman"/>
        </w:rPr>
        <w:t>地下水监测结果</w:t>
      </w:r>
    </w:p>
    <w:p>
      <w:pPr>
        <w:jc w:val="center"/>
        <w:rPr>
          <w:rFonts w:ascii="Times New Roman" w:hAnsi="Times New Roman" w:cs="Times New Roman"/>
          <w:b/>
          <w:bCs/>
        </w:rPr>
      </w:pPr>
      <w:r>
        <w:rPr>
          <w:rFonts w:ascii="Times New Roman" w:hAnsi="Times New Roman" w:cs="Times New Roman"/>
          <w:b/>
          <w:bCs/>
        </w:rPr>
        <w:t>表9.1-1 地下水检测结果一览表</w:t>
      </w:r>
    </w:p>
    <w:tbl>
      <w:tblPr>
        <w:tblStyle w:val="47"/>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955"/>
        <w:gridCol w:w="2076"/>
        <w:gridCol w:w="1040"/>
        <w:gridCol w:w="1016"/>
        <w:gridCol w:w="1016"/>
        <w:gridCol w:w="1016"/>
        <w:gridCol w:w="1016"/>
        <w:gridCol w:w="1016"/>
        <w:gridCol w:w="1016"/>
        <w:gridCol w:w="1016"/>
        <w:gridCol w:w="1242"/>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restart"/>
            <w:vAlign w:val="center"/>
          </w:tcPr>
          <w:p>
            <w:pPr>
              <w:widowControl/>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w:t>
            </w:r>
          </w:p>
          <w:p>
            <w:pPr>
              <w:widowControl/>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日期</w:t>
            </w:r>
          </w:p>
        </w:tc>
        <w:tc>
          <w:tcPr>
            <w:tcW w:w="1353" w:type="pct"/>
            <w:gridSpan w:val="2"/>
            <w:vMerge w:val="restar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检测位置及频次</w:t>
            </w:r>
          </w:p>
        </w:tc>
        <w:tc>
          <w:tcPr>
            <w:tcW w:w="3153" w:type="pct"/>
            <w:gridSpan w:val="9"/>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检测结果</w:t>
            </w:r>
          </w:p>
        </w:tc>
        <w:tc>
          <w:tcPr>
            <w:tcW w:w="289" w:type="pct"/>
            <w:vMerge w:val="restar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样品</w:t>
            </w:r>
          </w:p>
          <w:p>
            <w:pPr>
              <w:adjustRightInd w:val="0"/>
              <w:snapToGrid w:val="0"/>
              <w:ind w:left="-113" w:right="-113"/>
              <w:jc w:val="center"/>
              <w:rPr>
                <w:rFonts w:ascii="Times New Roman" w:hAnsi="Times New Roman" w:eastAsia="宋体" w:cs="Times New Roman"/>
                <w:kern w:val="0"/>
                <w:sz w:val="21"/>
                <w:szCs w:val="21"/>
              </w:rPr>
            </w:pPr>
            <w:r>
              <w:rPr>
                <w:rFonts w:ascii="Times New Roman" w:hAnsi="Times New Roman" w:eastAsia="宋体" w:cs="Times New Roman"/>
                <w:b/>
                <w:kern w:val="0"/>
                <w:sz w:val="21"/>
                <w:szCs w:val="21"/>
              </w:rPr>
              <w:t>表观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vAlign w:val="center"/>
          </w:tcPr>
          <w:p>
            <w:pPr>
              <w:widowControl/>
              <w:adjustRightInd w:val="0"/>
              <w:snapToGrid w:val="0"/>
              <w:ind w:left="-113" w:right="-113"/>
              <w:jc w:val="center"/>
              <w:rPr>
                <w:rFonts w:ascii="Times New Roman" w:hAnsi="Times New Roman" w:eastAsia="宋体" w:cs="Times New Roman"/>
                <w:b/>
                <w:kern w:val="0"/>
                <w:sz w:val="21"/>
                <w:szCs w:val="21"/>
              </w:rPr>
            </w:pPr>
          </w:p>
        </w:tc>
        <w:tc>
          <w:tcPr>
            <w:tcW w:w="1353" w:type="pct"/>
            <w:gridSpan w:val="2"/>
            <w:vMerge w:val="continue"/>
            <w:vAlign w:val="center"/>
          </w:tcPr>
          <w:p>
            <w:pPr>
              <w:adjustRightInd w:val="0"/>
              <w:snapToGrid w:val="0"/>
              <w:ind w:left="-113" w:right="-113"/>
              <w:jc w:val="center"/>
              <w:rPr>
                <w:rFonts w:ascii="Times New Roman" w:hAnsi="Times New Roman" w:eastAsia="宋体" w:cs="Times New Roman"/>
                <w:b/>
                <w:kern w:val="0"/>
                <w:sz w:val="21"/>
                <w:szCs w:val="21"/>
              </w:rPr>
            </w:pPr>
          </w:p>
        </w:tc>
        <w:tc>
          <w:tcPr>
            <w:tcW w:w="349"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pH</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溶解性总固体</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硫酸盐</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氯化物</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亚硝酸盐</w:t>
            </w:r>
          </w:p>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（以N计）</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硝酸盐</w:t>
            </w:r>
          </w:p>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（以N计）</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高锰酸盐指数（以O</w:t>
            </w:r>
            <w:r>
              <w:rPr>
                <w:rFonts w:ascii="Times New Roman" w:hAnsi="Times New Roman" w:eastAsia="宋体" w:cs="Times New Roman"/>
                <w:b/>
                <w:kern w:val="0"/>
                <w:sz w:val="21"/>
                <w:szCs w:val="21"/>
                <w:vertAlign w:val="subscript"/>
              </w:rPr>
              <w:t>2</w:t>
            </w:r>
            <w:r>
              <w:rPr>
                <w:rFonts w:ascii="Times New Roman" w:hAnsi="Times New Roman" w:eastAsia="宋体" w:cs="Times New Roman"/>
                <w:b/>
                <w:kern w:val="0"/>
                <w:sz w:val="21"/>
                <w:szCs w:val="21"/>
              </w:rPr>
              <w:t>计）</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氨氮</w:t>
            </w:r>
          </w:p>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（以N计）</w:t>
            </w:r>
          </w:p>
        </w:tc>
        <w:tc>
          <w:tcPr>
            <w:tcW w:w="414"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总大肠菌群</w:t>
            </w:r>
          </w:p>
        </w:tc>
        <w:tc>
          <w:tcPr>
            <w:tcW w:w="289" w:type="pct"/>
            <w:vMerge w:val="continue"/>
            <w:vAlign w:val="center"/>
          </w:tcPr>
          <w:p>
            <w:pPr>
              <w:adjustRightInd w:val="0"/>
              <w:snapToGrid w:val="0"/>
              <w:ind w:left="-113" w:right="-113"/>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vAlign w:val="center"/>
          </w:tcPr>
          <w:p>
            <w:pPr>
              <w:widowControl/>
              <w:adjustRightInd w:val="0"/>
              <w:snapToGrid w:val="0"/>
              <w:ind w:left="-113" w:right="-113"/>
              <w:jc w:val="center"/>
              <w:rPr>
                <w:rFonts w:ascii="Times New Roman" w:hAnsi="Times New Roman" w:eastAsia="宋体" w:cs="Times New Roman"/>
                <w:kern w:val="0"/>
                <w:sz w:val="21"/>
                <w:szCs w:val="21"/>
              </w:rPr>
            </w:pPr>
          </w:p>
        </w:tc>
        <w:tc>
          <w:tcPr>
            <w:tcW w:w="1353" w:type="pct"/>
            <w:gridSpan w:val="2"/>
            <w:vMerge w:val="continue"/>
            <w:vAlign w:val="center"/>
          </w:tcPr>
          <w:p>
            <w:pPr>
              <w:adjustRightInd w:val="0"/>
              <w:snapToGrid w:val="0"/>
              <w:jc w:val="center"/>
              <w:rPr>
                <w:rFonts w:ascii="Times New Roman" w:hAnsi="Times New Roman" w:eastAsia="宋体" w:cs="Times New Roman"/>
                <w:b/>
                <w:kern w:val="0"/>
                <w:sz w:val="21"/>
                <w:szCs w:val="21"/>
              </w:rPr>
            </w:pPr>
          </w:p>
        </w:tc>
        <w:tc>
          <w:tcPr>
            <w:tcW w:w="349"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无量纲</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41"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414"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MPN/100mL</w:t>
            </w:r>
          </w:p>
        </w:tc>
        <w:tc>
          <w:tcPr>
            <w:tcW w:w="289" w:type="pct"/>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restart"/>
            <w:vAlign w:val="center"/>
          </w:tcPr>
          <w:p>
            <w:pPr>
              <w:adjustRightInd w:val="0"/>
              <w:snapToGrid w:val="0"/>
              <w:ind w:left="-113" w:right="-113"/>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2023.11.28</w:t>
            </w:r>
          </w:p>
        </w:tc>
        <w:tc>
          <w:tcPr>
            <w:tcW w:w="656"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场地内1#监控井（场地北侧）DXW01（FX1）</w:t>
            </w:r>
          </w:p>
        </w:tc>
        <w:tc>
          <w:tcPr>
            <w:tcW w:w="69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23YS11035-FX1-1</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270</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41.4</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3.03</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0.007</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0.139</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1.71</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0.091</w:t>
            </w:r>
          </w:p>
        </w:tc>
        <w:tc>
          <w:tcPr>
            <w:tcW w:w="414"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89" w:type="pct"/>
            <w:vMerge w:val="restart"/>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清澈、</w:t>
            </w:r>
          </w:p>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无色、</w:t>
            </w:r>
          </w:p>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vAlign w:val="center"/>
          </w:tcPr>
          <w:p>
            <w:pPr>
              <w:adjustRightInd w:val="0"/>
              <w:snapToGrid w:val="0"/>
              <w:ind w:left="-113" w:right="-113"/>
              <w:jc w:val="center"/>
              <w:rPr>
                <w:rFonts w:ascii="Times New Roman" w:hAnsi="Times New Roman" w:eastAsia="宋体" w:cs="Times New Roman"/>
                <w:kern w:val="0"/>
                <w:sz w:val="21"/>
                <w:szCs w:val="21"/>
              </w:rPr>
            </w:pPr>
          </w:p>
        </w:tc>
        <w:tc>
          <w:tcPr>
            <w:tcW w:w="656"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场地上游2#对照井（场地东南侧农户）DXW02（FX2）</w:t>
            </w:r>
          </w:p>
        </w:tc>
        <w:tc>
          <w:tcPr>
            <w:tcW w:w="69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23YS11035-FX2-1</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417</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40.6</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8.46</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0.005</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0.165</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1.29</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0.199</w:t>
            </w:r>
          </w:p>
        </w:tc>
        <w:tc>
          <w:tcPr>
            <w:tcW w:w="414"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未检出</w:t>
            </w:r>
          </w:p>
        </w:tc>
        <w:tc>
          <w:tcPr>
            <w:tcW w:w="289"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vAlign w:val="center"/>
          </w:tcPr>
          <w:p>
            <w:pPr>
              <w:widowControl/>
              <w:adjustRightInd w:val="0"/>
              <w:snapToGrid w:val="0"/>
              <w:jc w:val="center"/>
              <w:rPr>
                <w:rFonts w:ascii="Times New Roman" w:hAnsi="Times New Roman" w:eastAsia="宋体" w:cs="Times New Roman"/>
                <w:kern w:val="0"/>
                <w:sz w:val="21"/>
                <w:szCs w:val="21"/>
              </w:rPr>
            </w:pPr>
          </w:p>
        </w:tc>
        <w:tc>
          <w:tcPr>
            <w:tcW w:w="656"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全程序空白</w:t>
            </w:r>
          </w:p>
        </w:tc>
        <w:tc>
          <w:tcPr>
            <w:tcW w:w="69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23YS11035-QKX-1</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0.018L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0.007L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0.003L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0.05L</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0.025L</w:t>
            </w:r>
          </w:p>
        </w:tc>
        <w:tc>
          <w:tcPr>
            <w:tcW w:w="41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28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vAlign w:val="center"/>
          </w:tcPr>
          <w:p>
            <w:pPr>
              <w:widowControl/>
              <w:adjustRightInd w:val="0"/>
              <w:snapToGrid w:val="0"/>
              <w:jc w:val="center"/>
              <w:rPr>
                <w:rFonts w:ascii="Times New Roman" w:hAnsi="Times New Roman" w:eastAsia="宋体" w:cs="Times New Roman"/>
                <w:kern w:val="0"/>
                <w:sz w:val="21"/>
                <w:szCs w:val="21"/>
              </w:rPr>
            </w:pPr>
          </w:p>
        </w:tc>
        <w:tc>
          <w:tcPr>
            <w:tcW w:w="656"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运输空白</w:t>
            </w:r>
          </w:p>
        </w:tc>
        <w:tc>
          <w:tcPr>
            <w:tcW w:w="69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23YS11035-YKX-1</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0.018L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0.007L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0.003L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0.05L</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0.025L</w:t>
            </w:r>
          </w:p>
        </w:tc>
        <w:tc>
          <w:tcPr>
            <w:tcW w:w="41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28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pct"/>
            <w:gridSpan w:val="3"/>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方法检出限</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0.018</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0.007</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0.003</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0.05</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0.025</w:t>
            </w:r>
          </w:p>
        </w:tc>
        <w:tc>
          <w:tcPr>
            <w:tcW w:w="41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8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pct"/>
            <w:gridSpan w:val="3"/>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评价标准值</w:t>
            </w:r>
          </w:p>
        </w:tc>
        <w:tc>
          <w:tcPr>
            <w:tcW w:w="349"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6.5-8.5</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1000</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341"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341"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0.50</w:t>
            </w:r>
          </w:p>
        </w:tc>
        <w:tc>
          <w:tcPr>
            <w:tcW w:w="41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289" w:type="pct"/>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60" w:type="pct"/>
            <w:gridSpan w:val="2"/>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评价依据</w:t>
            </w:r>
          </w:p>
        </w:tc>
        <w:tc>
          <w:tcPr>
            <w:tcW w:w="4139" w:type="pct"/>
            <w:gridSpan w:val="11"/>
            <w:vAlign w:val="center"/>
          </w:tcPr>
          <w:p>
            <w:pPr>
              <w:widowControl/>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《地下水质量标准》（GB/T 14848-2017）表1中Ⅲ类标准限值。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0" w:type="pct"/>
            <w:gridSpan w:val="2"/>
            <w:vAlign w:val="center"/>
          </w:tcPr>
          <w:p>
            <w:pPr>
              <w:adjustRightInd w:val="0"/>
              <w:snapToGrid w:val="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检测结论</w:t>
            </w:r>
          </w:p>
        </w:tc>
        <w:tc>
          <w:tcPr>
            <w:tcW w:w="12336" w:type="dxa"/>
            <w:gridSpan w:val="11"/>
            <w:vAlign w:val="center"/>
          </w:tcPr>
          <w:p>
            <w:pPr>
              <w:adjustRightInd w:val="0"/>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 xml:space="preserve">   此次检测，地下水检测点FX1、FX2、FX3处</w:t>
            </w:r>
            <w:r>
              <w:rPr>
                <w:rFonts w:ascii="Times New Roman" w:hAnsi="Times New Roman" w:eastAsia="宋体" w:cs="Times New Roman"/>
                <w:kern w:val="0"/>
                <w:sz w:val="21"/>
                <w:szCs w:val="21"/>
              </w:rPr>
              <w:t>pH、</w:t>
            </w:r>
            <w:r>
              <w:rPr>
                <w:rFonts w:ascii="Times New Roman" w:hAnsi="Times New Roman" w:eastAsia="宋体" w:cs="Times New Roman"/>
                <w:sz w:val="21"/>
                <w:szCs w:val="21"/>
              </w:rPr>
              <w:t>溶解性总固体、</w:t>
            </w:r>
            <w:r>
              <w:rPr>
                <w:rFonts w:ascii="Times New Roman" w:hAnsi="Times New Roman" w:eastAsia="宋体" w:cs="Times New Roman"/>
                <w:kern w:val="0"/>
                <w:sz w:val="21"/>
                <w:szCs w:val="21"/>
              </w:rPr>
              <w:t>硫酸盐、氯化物、亚硝酸盐（以N计）、硝酸盐（以N计）、高锰酸盐指数（以O</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计）、氨氮（以N计）、总大肠菌群</w:t>
            </w:r>
            <w:r>
              <w:rPr>
                <w:rFonts w:ascii="Times New Roman" w:hAnsi="Times New Roman" w:eastAsia="宋体" w:cs="Times New Roman"/>
                <w:sz w:val="21"/>
                <w:szCs w:val="21"/>
              </w:rPr>
              <w:t>检测结果均满足《地下水质量标准》（GB/T 14848-2017）表1中Ⅲ类标准要求。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0" w:type="pct"/>
            <w:gridSpan w:val="2"/>
            <w:vAlign w:val="center"/>
          </w:tcPr>
          <w:p>
            <w:pPr>
              <w:adjustRightInd w:val="0"/>
              <w:snapToGrid w:val="0"/>
              <w:jc w:val="center"/>
              <w:rPr>
                <w:rFonts w:ascii="Times New Roman" w:hAnsi="Times New Roman" w:eastAsia="宋体" w:cs="Times New Roman"/>
                <w:b/>
                <w:bCs/>
                <w:sz w:val="21"/>
                <w:szCs w:val="21"/>
              </w:rPr>
            </w:pPr>
            <w:r>
              <w:rPr>
                <w:rFonts w:ascii="Times New Roman" w:hAnsi="Times New Roman" w:eastAsia="宋体" w:cs="Times New Roman"/>
                <w:sz w:val="21"/>
                <w:szCs w:val="21"/>
              </w:rPr>
              <w:t>备注</w:t>
            </w:r>
          </w:p>
        </w:tc>
        <w:tc>
          <w:tcPr>
            <w:tcW w:w="4139" w:type="pct"/>
            <w:gridSpan w:val="11"/>
            <w:vAlign w:val="center"/>
          </w:tcPr>
          <w:p>
            <w:pPr>
              <w:widowControl/>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sz w:val="21"/>
                <w:szCs w:val="21"/>
              </w:rPr>
              <w:t>/</w:t>
            </w:r>
          </w:p>
        </w:tc>
      </w:tr>
    </w:tbl>
    <w:p>
      <w:pPr>
        <w:spacing w:line="360" w:lineRule="auto"/>
        <w:ind w:firstLine="480" w:firstLineChars="200"/>
      </w:pPr>
    </w:p>
    <w:p>
      <w:pPr>
        <w:spacing w:line="480" w:lineRule="exact"/>
        <w:jc w:val="center"/>
        <w:rPr>
          <w:rFonts w:ascii="Arial" w:hAnsi="Arial" w:eastAsia="宋体" w:cs="Arial"/>
          <w:b/>
        </w:rPr>
      </w:pPr>
      <w:r>
        <w:rPr>
          <w:rFonts w:ascii="Arial" w:hAnsi="Arial" w:eastAsia="宋体" w:cs="Arial"/>
          <w:b/>
          <w:color w:val="000000"/>
        </w:rPr>
        <w:t>表</w:t>
      </w:r>
      <w:r>
        <w:rPr>
          <w:rFonts w:hint="eastAsia" w:ascii="Arial" w:hAnsi="Arial" w:eastAsia="宋体" w:cs="Arial"/>
          <w:b/>
          <w:color w:val="000000"/>
        </w:rPr>
        <w:t>9</w:t>
      </w:r>
      <w:r>
        <w:rPr>
          <w:rFonts w:ascii="Arial" w:hAnsi="Arial" w:eastAsia="宋体" w:cs="Arial"/>
          <w:b/>
          <w:color w:val="000000"/>
        </w:rPr>
        <w:t>.1-1</w:t>
      </w:r>
      <w:r>
        <w:rPr>
          <w:rFonts w:hint="eastAsia" w:ascii="Arial" w:hAnsi="Arial" w:eastAsia="宋体" w:cs="Arial"/>
          <w:b/>
          <w:color w:val="000000"/>
        </w:rPr>
        <w:t>（续）</w:t>
      </w:r>
      <w:r>
        <w:rPr>
          <w:rFonts w:ascii="Arial" w:hAnsi="Arial" w:eastAsia="宋体" w:cs="Arial"/>
          <w:b/>
          <w:color w:val="000000"/>
        </w:rPr>
        <w:t xml:space="preserve">   </w:t>
      </w:r>
      <w:r>
        <w:rPr>
          <w:rFonts w:hint="eastAsia" w:ascii="Arial" w:hAnsi="Arial" w:eastAsia="宋体" w:cs="Arial"/>
          <w:b/>
        </w:rPr>
        <w:t>地下水检</w:t>
      </w:r>
      <w:r>
        <w:rPr>
          <w:rFonts w:ascii="Arial" w:hAnsi="Arial" w:eastAsia="宋体" w:cs="Arial"/>
          <w:b/>
        </w:rPr>
        <w:t>测结果一览表</w:t>
      </w:r>
    </w:p>
    <w:tbl>
      <w:tblPr>
        <w:tblStyle w:val="47"/>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851"/>
        <w:gridCol w:w="2176"/>
        <w:gridCol w:w="968"/>
        <w:gridCol w:w="968"/>
        <w:gridCol w:w="1071"/>
        <w:gridCol w:w="868"/>
        <w:gridCol w:w="968"/>
        <w:gridCol w:w="968"/>
        <w:gridCol w:w="968"/>
        <w:gridCol w:w="968"/>
        <w:gridCol w:w="986"/>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restart"/>
            <w:vAlign w:val="center"/>
          </w:tcPr>
          <w:p>
            <w:pPr>
              <w:widowControl/>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w:t>
            </w:r>
          </w:p>
          <w:p>
            <w:pPr>
              <w:widowControl/>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日期</w:t>
            </w:r>
          </w:p>
        </w:tc>
        <w:tc>
          <w:tcPr>
            <w:tcW w:w="1363" w:type="pct"/>
            <w:gridSpan w:val="2"/>
            <w:vMerge w:val="restar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检测位置及频次</w:t>
            </w:r>
          </w:p>
        </w:tc>
        <w:tc>
          <w:tcPr>
            <w:tcW w:w="2959" w:type="pct"/>
            <w:gridSpan w:val="9"/>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检测结果</w:t>
            </w:r>
          </w:p>
        </w:tc>
        <w:tc>
          <w:tcPr>
            <w:tcW w:w="322" w:type="pct"/>
            <w:vMerge w:val="restar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样品</w:t>
            </w:r>
          </w:p>
          <w:p>
            <w:pPr>
              <w:adjustRightInd w:val="0"/>
              <w:snapToGrid w:val="0"/>
              <w:ind w:left="-113" w:right="-113"/>
              <w:jc w:val="center"/>
              <w:rPr>
                <w:rFonts w:ascii="Times New Roman" w:hAnsi="Times New Roman" w:eastAsia="宋体" w:cs="Times New Roman"/>
                <w:kern w:val="0"/>
                <w:sz w:val="21"/>
                <w:szCs w:val="21"/>
              </w:rPr>
            </w:pPr>
            <w:r>
              <w:rPr>
                <w:rFonts w:ascii="Times New Roman" w:hAnsi="Times New Roman" w:eastAsia="宋体" w:cs="Times New Roman"/>
                <w:b/>
                <w:kern w:val="0"/>
                <w:sz w:val="21"/>
                <w:szCs w:val="21"/>
              </w:rPr>
              <w:t>表观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continue"/>
            <w:vAlign w:val="center"/>
          </w:tcPr>
          <w:p>
            <w:pPr>
              <w:widowControl/>
              <w:adjustRightInd w:val="0"/>
              <w:snapToGrid w:val="0"/>
              <w:ind w:left="-113" w:right="-113"/>
              <w:jc w:val="center"/>
              <w:rPr>
                <w:rFonts w:ascii="Times New Roman" w:hAnsi="Times New Roman" w:eastAsia="宋体" w:cs="Times New Roman"/>
                <w:b/>
                <w:kern w:val="0"/>
                <w:sz w:val="21"/>
                <w:szCs w:val="21"/>
              </w:rPr>
            </w:pPr>
          </w:p>
        </w:tc>
        <w:tc>
          <w:tcPr>
            <w:tcW w:w="1363" w:type="pct"/>
            <w:gridSpan w:val="2"/>
            <w:vMerge w:val="continue"/>
            <w:vAlign w:val="center"/>
          </w:tcPr>
          <w:p>
            <w:pPr>
              <w:adjustRightInd w:val="0"/>
              <w:snapToGrid w:val="0"/>
              <w:ind w:left="-113" w:right="-113"/>
              <w:jc w:val="center"/>
              <w:rPr>
                <w:rFonts w:ascii="Times New Roman" w:hAnsi="Times New Roman" w:eastAsia="宋体" w:cs="Times New Roman"/>
                <w:b/>
                <w:kern w:val="0"/>
                <w:sz w:val="21"/>
                <w:szCs w:val="21"/>
              </w:rPr>
            </w:pP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总硬度（以CaCO</w:t>
            </w:r>
            <w:r>
              <w:rPr>
                <w:rFonts w:ascii="Times New Roman" w:hAnsi="Times New Roman" w:eastAsia="宋体" w:cs="Times New Roman"/>
                <w:b/>
                <w:bCs/>
                <w:kern w:val="0"/>
                <w:sz w:val="21"/>
                <w:szCs w:val="21"/>
                <w:vertAlign w:val="subscript"/>
              </w:rPr>
              <w:t>3</w:t>
            </w:r>
            <w:r>
              <w:rPr>
                <w:rFonts w:ascii="Times New Roman" w:hAnsi="Times New Roman" w:eastAsia="宋体" w:cs="Times New Roman"/>
                <w:b/>
                <w:bCs/>
                <w:kern w:val="0"/>
                <w:sz w:val="21"/>
                <w:szCs w:val="21"/>
              </w:rPr>
              <w:t>计）</w:t>
            </w: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铬（六价）</w:t>
            </w:r>
          </w:p>
        </w:tc>
        <w:tc>
          <w:tcPr>
            <w:tcW w:w="363"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kern w:val="0"/>
                <w:sz w:val="21"/>
                <w:szCs w:val="21"/>
              </w:rPr>
              <w:t>镉</w:t>
            </w:r>
          </w:p>
        </w:tc>
        <w:tc>
          <w:tcPr>
            <w:tcW w:w="294"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铁</w:t>
            </w: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锰</w:t>
            </w: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锌</w:t>
            </w: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铜</w:t>
            </w:r>
          </w:p>
        </w:tc>
        <w:tc>
          <w:tcPr>
            <w:tcW w:w="328"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硒</w:t>
            </w:r>
          </w:p>
        </w:tc>
        <w:tc>
          <w:tcPr>
            <w:tcW w:w="330" w:type="pct"/>
            <w:vAlign w:val="center"/>
          </w:tcPr>
          <w:p>
            <w:pPr>
              <w:adjustRightInd w:val="0"/>
              <w:snapToGrid w:val="0"/>
              <w:ind w:left="-113" w:right="-113"/>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臭和味</w:t>
            </w:r>
          </w:p>
        </w:tc>
        <w:tc>
          <w:tcPr>
            <w:tcW w:w="322" w:type="pct"/>
            <w:vMerge w:val="continue"/>
            <w:vAlign w:val="center"/>
          </w:tcPr>
          <w:p>
            <w:pPr>
              <w:adjustRightInd w:val="0"/>
              <w:snapToGrid w:val="0"/>
              <w:ind w:left="-113" w:right="-113"/>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continue"/>
            <w:vAlign w:val="center"/>
          </w:tcPr>
          <w:p>
            <w:pPr>
              <w:widowControl/>
              <w:adjustRightInd w:val="0"/>
              <w:snapToGrid w:val="0"/>
              <w:ind w:left="-113" w:right="-113"/>
              <w:jc w:val="center"/>
              <w:rPr>
                <w:rFonts w:ascii="Times New Roman" w:hAnsi="Times New Roman" w:eastAsia="宋体" w:cs="Times New Roman"/>
                <w:kern w:val="0"/>
                <w:sz w:val="21"/>
                <w:szCs w:val="21"/>
              </w:rPr>
            </w:pPr>
          </w:p>
        </w:tc>
        <w:tc>
          <w:tcPr>
            <w:tcW w:w="1363" w:type="pct"/>
            <w:gridSpan w:val="2"/>
            <w:vMerge w:val="continue"/>
            <w:vAlign w:val="center"/>
          </w:tcPr>
          <w:p>
            <w:pPr>
              <w:adjustRightInd w:val="0"/>
              <w:snapToGrid w:val="0"/>
              <w:jc w:val="center"/>
              <w:rPr>
                <w:rFonts w:ascii="Times New Roman" w:hAnsi="Times New Roman" w:eastAsia="宋体" w:cs="Times New Roman"/>
                <w:b/>
                <w:kern w:val="0"/>
                <w:sz w:val="21"/>
                <w:szCs w:val="21"/>
              </w:rPr>
            </w:pP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63"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294"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28" w:type="pct"/>
            <w:vAlign w:val="center"/>
          </w:tcPr>
          <w:p>
            <w:pPr>
              <w:adjustRightInd w:val="0"/>
              <w:snapToGrid w:val="0"/>
              <w:ind w:left="-113" w:right="-113"/>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mg/L</w:t>
            </w:r>
          </w:p>
        </w:tc>
        <w:tc>
          <w:tcPr>
            <w:tcW w:w="330" w:type="pct"/>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等级</w:t>
            </w:r>
          </w:p>
        </w:tc>
        <w:tc>
          <w:tcPr>
            <w:tcW w:w="322" w:type="pct"/>
            <w:vMerge w:val="continue"/>
            <w:vAlign w:val="center"/>
          </w:tcPr>
          <w:p>
            <w:pPr>
              <w:adjustRightInd w:val="0"/>
              <w:snapToGrid w:val="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restart"/>
            <w:vAlign w:val="center"/>
          </w:tcPr>
          <w:p>
            <w:pPr>
              <w:adjustRightInd w:val="0"/>
              <w:snapToGrid w:val="0"/>
              <w:ind w:left="-113" w:right="-113"/>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2023.11.28</w:t>
            </w:r>
          </w:p>
          <w:p>
            <w:pPr>
              <w:adjustRightInd w:val="0"/>
              <w:snapToGrid w:val="0"/>
              <w:ind w:left="-113" w:right="-113"/>
              <w:jc w:val="center"/>
              <w:rPr>
                <w:rFonts w:ascii="Times New Roman" w:hAnsi="Times New Roman" w:eastAsia="宋体" w:cs="Times New Roman"/>
                <w:kern w:val="0"/>
                <w:sz w:val="21"/>
                <w:szCs w:val="21"/>
              </w:rPr>
            </w:pPr>
          </w:p>
        </w:tc>
        <w:tc>
          <w:tcPr>
            <w:tcW w:w="626"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场地内1#监控井（场地北侧）DXW01（FX1）</w:t>
            </w:r>
          </w:p>
        </w:tc>
        <w:tc>
          <w:tcPr>
            <w:tcW w:w="73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23YS11035-FX1-1</w:t>
            </w:r>
          </w:p>
        </w:tc>
        <w:tc>
          <w:tcPr>
            <w:tcW w:w="328"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86.6</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1.2×10</w:t>
            </w:r>
            <w:r>
              <w:rPr>
                <w:rFonts w:ascii="Times New Roman" w:hAnsi="Times New Roman" w:eastAsia="宋体" w:cs="Times New Roman"/>
                <w:sz w:val="21"/>
                <w:szCs w:val="21"/>
                <w:vertAlign w:val="superscript"/>
              </w:rPr>
              <w:t>-4</w:t>
            </w:r>
          </w:p>
        </w:tc>
        <w:tc>
          <w:tcPr>
            <w:tcW w:w="29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0.26</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0.026</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0.006L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4×10</w:t>
            </w:r>
            <w:r>
              <w:rPr>
                <w:rFonts w:ascii="Times New Roman" w:hAnsi="Times New Roman" w:eastAsia="宋体" w:cs="Times New Roman"/>
                <w:sz w:val="21"/>
                <w:szCs w:val="21"/>
                <w:vertAlign w:val="superscript"/>
              </w:rPr>
              <w:t>-4</w:t>
            </w:r>
            <w:r>
              <w:rPr>
                <w:rFonts w:ascii="Times New Roman" w:hAnsi="Times New Roman" w:eastAsia="宋体" w:cs="Times New Roman"/>
                <w:sz w:val="21"/>
                <w:szCs w:val="21"/>
              </w:rPr>
              <w:t>L</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322" w:type="pct"/>
            <w:vMerge w:val="restart"/>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清澈、</w:t>
            </w:r>
          </w:p>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无色、</w:t>
            </w:r>
          </w:p>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continue"/>
            <w:vAlign w:val="center"/>
          </w:tcPr>
          <w:p>
            <w:pPr>
              <w:adjustRightInd w:val="0"/>
              <w:snapToGrid w:val="0"/>
              <w:ind w:left="-113" w:right="-113"/>
              <w:jc w:val="center"/>
              <w:rPr>
                <w:rFonts w:ascii="Times New Roman" w:hAnsi="Times New Roman" w:eastAsia="宋体" w:cs="Times New Roman"/>
                <w:kern w:val="0"/>
                <w:sz w:val="21"/>
                <w:szCs w:val="21"/>
              </w:rPr>
            </w:pPr>
          </w:p>
        </w:tc>
        <w:tc>
          <w:tcPr>
            <w:tcW w:w="626"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场地上游2#对照井（场地东南侧农户）DXW02（FX2）</w:t>
            </w:r>
          </w:p>
        </w:tc>
        <w:tc>
          <w:tcPr>
            <w:tcW w:w="73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23YS11035-FX2-1</w:t>
            </w:r>
          </w:p>
        </w:tc>
        <w:tc>
          <w:tcPr>
            <w:tcW w:w="328" w:type="pct"/>
            <w:vAlign w:val="center"/>
          </w:tcPr>
          <w:p>
            <w:pPr>
              <w:adjustRightInd w:val="0"/>
              <w:snapToGrid w:val="0"/>
              <w:ind w:left="-113" w:right="-113"/>
              <w:jc w:val="center"/>
              <w:rPr>
                <w:rFonts w:ascii="Times New Roman" w:hAnsi="Times New Roman" w:eastAsia="宋体" w:cs="Times New Roman"/>
                <w:sz w:val="21"/>
                <w:szCs w:val="21"/>
              </w:rPr>
            </w:pPr>
            <w:r>
              <w:rPr>
                <w:rFonts w:ascii="Times New Roman" w:hAnsi="Times New Roman" w:eastAsia="宋体" w:cs="Times New Roman"/>
                <w:sz w:val="21"/>
                <w:szCs w:val="21"/>
              </w:rPr>
              <w:t>260</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2.1×10</w:t>
            </w:r>
            <w:r>
              <w:rPr>
                <w:rFonts w:ascii="Times New Roman" w:hAnsi="Times New Roman" w:eastAsia="宋体" w:cs="Times New Roman"/>
                <w:sz w:val="21"/>
                <w:szCs w:val="21"/>
                <w:vertAlign w:val="superscript"/>
              </w:rPr>
              <w:t>-4</w:t>
            </w:r>
          </w:p>
        </w:tc>
        <w:tc>
          <w:tcPr>
            <w:tcW w:w="29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0.07</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0.032</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0.007</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0.006L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4×10</w:t>
            </w:r>
            <w:r>
              <w:rPr>
                <w:rFonts w:ascii="Times New Roman" w:hAnsi="Times New Roman" w:eastAsia="宋体" w:cs="Times New Roman"/>
                <w:sz w:val="21"/>
                <w:szCs w:val="21"/>
                <w:vertAlign w:val="superscript"/>
              </w:rPr>
              <w:t>-4</w:t>
            </w:r>
            <w:r>
              <w:rPr>
                <w:rFonts w:ascii="Times New Roman" w:hAnsi="Times New Roman" w:eastAsia="宋体" w:cs="Times New Roman"/>
                <w:sz w:val="21"/>
                <w:szCs w:val="21"/>
              </w:rPr>
              <w:t>L</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322"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continue"/>
            <w:vAlign w:val="center"/>
          </w:tcPr>
          <w:p>
            <w:pPr>
              <w:widowControl/>
              <w:adjustRightInd w:val="0"/>
              <w:snapToGrid w:val="0"/>
              <w:jc w:val="center"/>
              <w:rPr>
                <w:rFonts w:ascii="Times New Roman" w:hAnsi="Times New Roman" w:eastAsia="宋体" w:cs="Times New Roman"/>
                <w:kern w:val="0"/>
                <w:sz w:val="21"/>
                <w:szCs w:val="21"/>
              </w:rPr>
            </w:pPr>
          </w:p>
        </w:tc>
        <w:tc>
          <w:tcPr>
            <w:tcW w:w="626"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全程序空白</w:t>
            </w:r>
          </w:p>
        </w:tc>
        <w:tc>
          <w:tcPr>
            <w:tcW w:w="73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23YS11035-QKX-1</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5×10</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L</w:t>
            </w:r>
          </w:p>
        </w:tc>
        <w:tc>
          <w:tcPr>
            <w:tcW w:w="294" w:type="pct"/>
            <w:vAlign w:val="center"/>
          </w:tcPr>
          <w:p>
            <w:pPr>
              <w:adjustRightInd w:val="0"/>
              <w:snapToGrid w:val="0"/>
              <w:jc w:val="center"/>
              <w:rPr>
                <w:rFonts w:ascii="Times New Roman" w:hAnsi="Times New Roman" w:eastAsia="宋体" w:cs="Times New Roman"/>
                <w:sz w:val="21"/>
              </w:rPr>
            </w:pPr>
            <w:r>
              <w:rPr>
                <w:rFonts w:ascii="Times New Roman" w:hAnsi="Times New Roman" w:eastAsia="宋体" w:cs="Times New Roman"/>
                <w:sz w:val="21"/>
                <w:szCs w:val="21"/>
              </w:rPr>
              <w:t>0.02L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0.006L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4×10</w:t>
            </w:r>
            <w:r>
              <w:rPr>
                <w:rFonts w:ascii="Times New Roman" w:hAnsi="Times New Roman" w:eastAsia="宋体" w:cs="Times New Roman"/>
                <w:sz w:val="21"/>
                <w:szCs w:val="21"/>
                <w:vertAlign w:val="superscript"/>
              </w:rPr>
              <w:t>-4</w:t>
            </w:r>
            <w:r>
              <w:rPr>
                <w:rFonts w:ascii="Times New Roman" w:hAnsi="Times New Roman" w:eastAsia="宋体" w:cs="Times New Roman"/>
                <w:sz w:val="21"/>
                <w:szCs w:val="21"/>
              </w:rPr>
              <w:t>L</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22"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54" w:type="pct"/>
            <w:vMerge w:val="continue"/>
            <w:vAlign w:val="center"/>
          </w:tcPr>
          <w:p>
            <w:pPr>
              <w:widowControl/>
              <w:adjustRightInd w:val="0"/>
              <w:snapToGrid w:val="0"/>
              <w:jc w:val="center"/>
              <w:rPr>
                <w:rFonts w:ascii="Times New Roman" w:hAnsi="Times New Roman" w:eastAsia="宋体" w:cs="Times New Roman"/>
                <w:kern w:val="0"/>
                <w:sz w:val="21"/>
                <w:szCs w:val="21"/>
              </w:rPr>
            </w:pPr>
          </w:p>
        </w:tc>
        <w:tc>
          <w:tcPr>
            <w:tcW w:w="626"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运输空白</w:t>
            </w:r>
          </w:p>
        </w:tc>
        <w:tc>
          <w:tcPr>
            <w:tcW w:w="73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23YS11035-YKX-1</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5×10</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L</w:t>
            </w:r>
          </w:p>
        </w:tc>
        <w:tc>
          <w:tcPr>
            <w:tcW w:w="294" w:type="pct"/>
            <w:vAlign w:val="center"/>
          </w:tcPr>
          <w:p>
            <w:pPr>
              <w:adjustRightInd w:val="0"/>
              <w:snapToGrid w:val="0"/>
              <w:jc w:val="center"/>
              <w:rPr>
                <w:rFonts w:ascii="Times New Roman" w:hAnsi="Times New Roman" w:eastAsia="宋体" w:cs="Times New Roman"/>
                <w:sz w:val="21"/>
              </w:rPr>
            </w:pPr>
            <w:r>
              <w:rPr>
                <w:rFonts w:ascii="Times New Roman" w:hAnsi="Times New Roman" w:eastAsia="宋体" w:cs="Times New Roman"/>
                <w:sz w:val="21"/>
                <w:szCs w:val="21"/>
              </w:rPr>
              <w:t>0.02L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0.006L</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4×10</w:t>
            </w:r>
            <w:r>
              <w:rPr>
                <w:rFonts w:ascii="Times New Roman" w:hAnsi="Times New Roman" w:eastAsia="宋体" w:cs="Times New Roman"/>
                <w:sz w:val="21"/>
                <w:szCs w:val="21"/>
                <w:vertAlign w:val="superscript"/>
              </w:rPr>
              <w:t>-4</w:t>
            </w:r>
            <w:r>
              <w:rPr>
                <w:rFonts w:ascii="Times New Roman" w:hAnsi="Times New Roman" w:eastAsia="宋体" w:cs="Times New Roman"/>
                <w:sz w:val="21"/>
                <w:szCs w:val="21"/>
              </w:rPr>
              <w:t>L</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22"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18" w:type="pct"/>
            <w:gridSpan w:val="3"/>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方法检出限</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5×10</w:t>
            </w:r>
            <w:r>
              <w:rPr>
                <w:rFonts w:ascii="Times New Roman" w:hAnsi="Times New Roman" w:eastAsia="宋体" w:cs="Times New Roman"/>
                <w:sz w:val="21"/>
                <w:szCs w:val="21"/>
                <w:vertAlign w:val="superscript"/>
              </w:rPr>
              <w:t>-5</w:t>
            </w:r>
          </w:p>
        </w:tc>
        <w:tc>
          <w:tcPr>
            <w:tcW w:w="294" w:type="pct"/>
            <w:vAlign w:val="center"/>
          </w:tcPr>
          <w:p>
            <w:pPr>
              <w:adjustRightInd w:val="0"/>
              <w:snapToGrid w:val="0"/>
              <w:jc w:val="center"/>
              <w:rPr>
                <w:rFonts w:ascii="Times New Roman" w:hAnsi="Times New Roman" w:eastAsia="宋体" w:cs="Times New Roman"/>
                <w:sz w:val="21"/>
              </w:rPr>
            </w:pPr>
            <w:r>
              <w:rPr>
                <w:rFonts w:ascii="Times New Roman" w:hAnsi="Times New Roman" w:eastAsia="宋体" w:cs="Times New Roman"/>
                <w:sz w:val="21"/>
                <w:szCs w:val="21"/>
              </w:rPr>
              <w:t>0.02</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0.006</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4×10</w:t>
            </w:r>
            <w:r>
              <w:rPr>
                <w:rFonts w:ascii="Times New Roman" w:hAnsi="Times New Roman" w:eastAsia="宋体" w:cs="Times New Roman"/>
                <w:sz w:val="21"/>
                <w:szCs w:val="21"/>
                <w:vertAlign w:val="superscript"/>
              </w:rPr>
              <w:t>-4</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22"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18" w:type="pct"/>
            <w:gridSpan w:val="3"/>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评价标准值</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450</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0.05</w:t>
            </w:r>
          </w:p>
        </w:tc>
        <w:tc>
          <w:tcPr>
            <w:tcW w:w="36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0.005</w:t>
            </w:r>
          </w:p>
        </w:tc>
        <w:tc>
          <w:tcPr>
            <w:tcW w:w="294"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0.10</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328"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0.01</w:t>
            </w:r>
          </w:p>
        </w:tc>
        <w:tc>
          <w:tcPr>
            <w:tcW w:w="330"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无</w:t>
            </w:r>
          </w:p>
        </w:tc>
        <w:tc>
          <w:tcPr>
            <w:tcW w:w="322"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1" w:type="pct"/>
            <w:gridSpan w:val="2"/>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评价依据</w:t>
            </w:r>
          </w:p>
        </w:tc>
        <w:tc>
          <w:tcPr>
            <w:tcW w:w="4018" w:type="pct"/>
            <w:gridSpan w:val="11"/>
            <w:vAlign w:val="center"/>
          </w:tcPr>
          <w:p>
            <w:pPr>
              <w:widowControl/>
              <w:adjustRightInd w:val="0"/>
              <w:snapToGrid w:val="0"/>
              <w:jc w:val="center"/>
              <w:rPr>
                <w:rFonts w:ascii="Times New Roman" w:hAnsi="Times New Roman" w:eastAsia="宋体" w:cs="Times New Roman"/>
                <w:sz w:val="21"/>
              </w:rPr>
            </w:pPr>
            <w:r>
              <w:rPr>
                <w:rFonts w:ascii="Times New Roman" w:hAnsi="Times New Roman" w:eastAsia="宋体" w:cs="Times New Roman"/>
                <w:sz w:val="21"/>
                <w:szCs w:val="21"/>
              </w:rPr>
              <w:t>《地下水质量标准》（GB/T 14848-2017）表1中Ⅲ类标准限值。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1" w:type="pct"/>
            <w:gridSpan w:val="2"/>
            <w:vAlign w:val="center"/>
          </w:tcPr>
          <w:p>
            <w:pPr>
              <w:adjustRightInd w:val="0"/>
              <w:snapToGrid w:val="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检测结论</w:t>
            </w:r>
          </w:p>
        </w:tc>
        <w:tc>
          <w:tcPr>
            <w:tcW w:w="4018" w:type="pct"/>
            <w:gridSpan w:val="11"/>
            <w:vAlign w:val="center"/>
          </w:tcPr>
          <w:p>
            <w:pPr>
              <w:adjustRightInd w:val="0"/>
              <w:snapToGrid w:val="0"/>
              <w:jc w:val="center"/>
              <w:rPr>
                <w:rFonts w:ascii="Times New Roman" w:hAnsi="Times New Roman" w:eastAsia="宋体" w:cs="Times New Roman"/>
                <w:bCs/>
                <w:sz w:val="21"/>
                <w:szCs w:val="21"/>
              </w:rPr>
            </w:pPr>
            <w:r>
              <w:rPr>
                <w:rFonts w:ascii="Times New Roman" w:hAnsi="Times New Roman" w:eastAsia="宋体" w:cs="Times New Roman"/>
                <w:sz w:val="21"/>
              </w:rPr>
              <w:t xml:space="preserve">   此次检测，地下水检测点FX1、FX2、FX3处</w:t>
            </w:r>
            <w:r>
              <w:rPr>
                <w:rFonts w:ascii="Times New Roman" w:hAnsi="Times New Roman" w:eastAsia="宋体" w:cs="Times New Roman"/>
                <w:kern w:val="0"/>
                <w:sz w:val="21"/>
                <w:szCs w:val="21"/>
              </w:rPr>
              <w:t>总硬度（以CaCO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计）、铬（六价）</w:t>
            </w:r>
            <w:r>
              <w:rPr>
                <w:rFonts w:ascii="Times New Roman" w:hAnsi="Times New Roman" w:eastAsia="宋体" w:cs="Times New Roman"/>
                <w:sz w:val="21"/>
              </w:rPr>
              <w:t>、</w:t>
            </w:r>
            <w:r>
              <w:rPr>
                <w:rFonts w:ascii="Times New Roman" w:hAnsi="Times New Roman" w:eastAsia="宋体" w:cs="Times New Roman"/>
                <w:kern w:val="0"/>
                <w:sz w:val="21"/>
                <w:szCs w:val="21"/>
              </w:rPr>
              <w:t>镉、铁、锰、锌、铜、硒、臭和味</w:t>
            </w:r>
            <w:r>
              <w:rPr>
                <w:rFonts w:ascii="Times New Roman" w:hAnsi="Times New Roman" w:eastAsia="宋体" w:cs="Times New Roman"/>
                <w:sz w:val="21"/>
              </w:rPr>
              <w:t>检测结果均满足《地下水质量标准》（GB/T 14848-2017）表1中Ⅲ类标准要求。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1" w:type="pct"/>
            <w:gridSpan w:val="2"/>
            <w:vAlign w:val="center"/>
          </w:tcPr>
          <w:p>
            <w:pPr>
              <w:adjustRightInd w:val="0"/>
              <w:snapToGrid w:val="0"/>
              <w:jc w:val="center"/>
              <w:rPr>
                <w:rFonts w:ascii="Times New Roman" w:hAnsi="Times New Roman" w:eastAsia="宋体" w:cs="Times New Roman"/>
                <w:b/>
                <w:bCs/>
                <w:sz w:val="21"/>
                <w:szCs w:val="21"/>
              </w:rPr>
            </w:pPr>
            <w:r>
              <w:rPr>
                <w:rFonts w:ascii="Times New Roman" w:hAnsi="Times New Roman" w:eastAsia="宋体" w:cs="Times New Roman"/>
                <w:sz w:val="21"/>
                <w:szCs w:val="21"/>
              </w:rPr>
              <w:t>备注</w:t>
            </w:r>
          </w:p>
        </w:tc>
        <w:tc>
          <w:tcPr>
            <w:tcW w:w="4018" w:type="pct"/>
            <w:gridSpan w:val="11"/>
            <w:vAlign w:val="center"/>
          </w:tcPr>
          <w:p>
            <w:pPr>
              <w:widowControl/>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sz w:val="21"/>
              </w:rPr>
              <w:t>/</w:t>
            </w:r>
          </w:p>
        </w:tc>
      </w:tr>
    </w:tbl>
    <w:p>
      <w:pPr>
        <w:spacing w:line="360" w:lineRule="auto"/>
        <w:ind w:firstLine="480" w:firstLineChars="200"/>
        <w:rPr>
          <w:rFonts w:hint="eastAsia"/>
        </w:rPr>
      </w:pPr>
    </w:p>
    <w:p>
      <w:pPr>
        <w:spacing w:line="360" w:lineRule="auto"/>
        <w:ind w:firstLine="480" w:firstLineChars="200"/>
        <w:rPr>
          <w:rFonts w:hint="eastAsia"/>
        </w:rPr>
        <w:sectPr>
          <w:pgSz w:w="16838" w:h="11906" w:orient="landscape"/>
          <w:pgMar w:top="1531" w:right="1077" w:bottom="1474" w:left="1191" w:header="851" w:footer="510" w:gutter="0"/>
          <w:cols w:space="720" w:num="1"/>
          <w:docGrid w:type="lines" w:linePitch="326" w:charSpace="0"/>
        </w:sectPr>
      </w:pPr>
    </w:p>
    <w:p>
      <w:pPr>
        <w:pStyle w:val="3"/>
        <w:rPr>
          <w:rFonts w:cs="Times New Roman"/>
        </w:rPr>
      </w:pPr>
      <w:r>
        <w:rPr>
          <w:rFonts w:cs="Times New Roman"/>
        </w:rPr>
        <w:t xml:space="preserve"> 9.2</w:t>
      </w:r>
      <w:bookmarkEnd w:id="229"/>
      <w:bookmarkEnd w:id="230"/>
      <w:bookmarkEnd w:id="231"/>
      <w:bookmarkEnd w:id="232"/>
      <w:bookmarkEnd w:id="233"/>
      <w:bookmarkEnd w:id="234"/>
      <w:r>
        <w:rPr>
          <w:rFonts w:cs="Times New Roman"/>
        </w:rPr>
        <w:t>废</w:t>
      </w:r>
      <w:r>
        <w:rPr>
          <w:rFonts w:hint="eastAsia" w:cs="Times New Roman"/>
        </w:rPr>
        <w:t>气</w:t>
      </w:r>
      <w:r>
        <w:rPr>
          <w:rFonts w:cs="Times New Roman"/>
        </w:rPr>
        <w:t>监测结果</w:t>
      </w:r>
      <w:bookmarkEnd w:id="235"/>
    </w:p>
    <w:p>
      <w:pPr>
        <w:spacing w:before="50" w:line="360" w:lineRule="auto"/>
        <w:jc w:val="center"/>
        <w:rPr>
          <w:rFonts w:ascii="Times New Roman" w:hAnsi="Times New Roman" w:eastAsia="宋体" w:cs="Times New Roman"/>
          <w:b/>
          <w:color w:val="000000"/>
        </w:rPr>
      </w:pPr>
      <w:r>
        <w:rPr>
          <w:rFonts w:ascii="Times New Roman" w:hAnsi="Times New Roman" w:eastAsia="宋体" w:cs="Times New Roman"/>
          <w:b/>
          <w:color w:val="000000"/>
        </w:rPr>
        <w:t xml:space="preserve">表9.2-1 </w:t>
      </w:r>
      <w:r>
        <w:rPr>
          <w:rFonts w:hint="eastAsia" w:ascii="Times New Roman" w:hAnsi="Times New Roman" w:eastAsia="宋体" w:cs="Times New Roman"/>
          <w:b/>
          <w:color w:val="000000"/>
        </w:rPr>
        <w:t>废气无组织检测结果一览表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473"/>
        <w:gridCol w:w="2342"/>
        <w:gridCol w:w="1253"/>
        <w:gridCol w:w="1253"/>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restart"/>
            <w:vAlign w:val="center"/>
          </w:tcPr>
          <w:p>
            <w:pPr>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检测日期</w:t>
            </w:r>
          </w:p>
        </w:tc>
        <w:tc>
          <w:tcPr>
            <w:tcW w:w="2237" w:type="pct"/>
            <w:gridSpan w:val="2"/>
            <w:vMerge w:val="restart"/>
            <w:vAlign w:val="center"/>
          </w:tcPr>
          <w:p>
            <w:pPr>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测点位置及编号</w:t>
            </w: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氨</w:t>
            </w: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硫化氢</w:t>
            </w:r>
          </w:p>
        </w:tc>
        <w:tc>
          <w:tcPr>
            <w:tcW w:w="737"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tabs>
                <w:tab w:val="left" w:pos="2160"/>
              </w:tabs>
              <w:adjustRightInd w:val="0"/>
              <w:snapToGrid w:val="0"/>
              <w:ind w:left="-120" w:leftChars="-50" w:right="-120" w:rightChars="-50"/>
              <w:jc w:val="center"/>
              <w:rPr>
                <w:rFonts w:ascii="Times New Roman" w:hAnsi="Times New Roman" w:eastAsia="宋体" w:cs="Times New Roman"/>
                <w:sz w:val="21"/>
              </w:rPr>
            </w:pPr>
          </w:p>
        </w:tc>
        <w:tc>
          <w:tcPr>
            <w:tcW w:w="2237" w:type="pct"/>
            <w:gridSpan w:val="2"/>
            <w:vMerge w:val="continue"/>
            <w:vAlign w:val="center"/>
          </w:tcPr>
          <w:p>
            <w:pPr>
              <w:tabs>
                <w:tab w:val="left" w:pos="2160"/>
              </w:tabs>
              <w:adjustRightInd w:val="0"/>
              <w:snapToGrid w:val="0"/>
              <w:ind w:left="-120" w:leftChars="-50" w:right="-120" w:rightChars="-50"/>
              <w:jc w:val="center"/>
              <w:rPr>
                <w:rFonts w:ascii="Times New Roman" w:hAnsi="Times New Roman" w:eastAsia="宋体" w:cs="Times New Roman"/>
                <w:sz w:val="21"/>
              </w:rPr>
            </w:pP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mg/m</w:t>
            </w:r>
            <w:r>
              <w:rPr>
                <w:rFonts w:ascii="Times New Roman" w:hAnsi="Times New Roman" w:eastAsia="宋体" w:cs="Times New Roman"/>
                <w:b/>
                <w:color w:val="000000"/>
                <w:kern w:val="0"/>
                <w:sz w:val="21"/>
                <w:szCs w:val="21"/>
                <w:vertAlign w:val="superscript"/>
              </w:rPr>
              <w:t>3</w:t>
            </w: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mg/m</w:t>
            </w:r>
            <w:r>
              <w:rPr>
                <w:rFonts w:ascii="Times New Roman" w:hAnsi="Times New Roman" w:eastAsia="宋体" w:cs="Times New Roman"/>
                <w:b/>
                <w:color w:val="000000"/>
                <w:kern w:val="0"/>
                <w:sz w:val="21"/>
                <w:szCs w:val="21"/>
                <w:vertAlign w:val="superscript"/>
              </w:rPr>
              <w:t>3</w:t>
            </w:r>
          </w:p>
        </w:tc>
        <w:tc>
          <w:tcPr>
            <w:tcW w:w="737"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55" w:type="pct"/>
            <w:vMerge w:val="restart"/>
            <w:vAlign w:val="center"/>
          </w:tcPr>
          <w:p>
            <w:pPr>
              <w:widowControl/>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2023.11.28</w:t>
            </w:r>
          </w:p>
        </w:tc>
        <w:tc>
          <w:tcPr>
            <w:tcW w:w="864" w:type="pct"/>
            <w:vMerge w:val="restart"/>
            <w:vAlign w:val="center"/>
          </w:tcPr>
          <w:p>
            <w:pPr>
              <w:adjustRightInd w:val="0"/>
              <w:snapToGrid w:val="0"/>
              <w:ind w:left="-48" w:leftChars="-20" w:right="-48" w:rightChars="-20"/>
              <w:jc w:val="center"/>
              <w:rPr>
                <w:rFonts w:ascii="Times New Roman" w:hAnsi="Times New Roman" w:eastAsia="宋体" w:cs="Times New Roman"/>
                <w:color w:val="000000"/>
                <w:sz w:val="21"/>
                <w:szCs w:val="21"/>
              </w:rPr>
            </w:pPr>
            <w:r>
              <w:rPr>
                <w:rFonts w:ascii="Times New Roman" w:hAnsi="Times New Roman" w:eastAsia="宋体" w:cs="Times New Roman"/>
                <w:kern w:val="0"/>
                <w:sz w:val="21"/>
                <w:szCs w:val="21"/>
              </w:rPr>
              <w:t>东北侧厂界外（B1）</w:t>
            </w: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23YS11035-B1-1-1</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0.50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0.012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23YS11035-B1-1-2</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0.45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0.014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23YS11035-B1-1-3</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0.47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23YS11035-B1-1-4</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0.53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0.011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restart"/>
            <w:vAlign w:val="center"/>
          </w:tcPr>
          <w:p>
            <w:pPr>
              <w:adjustRightInd w:val="0"/>
              <w:snapToGrid w:val="0"/>
              <w:ind w:left="-48" w:leftChars="-20" w:right="-48" w:rightChars="-20"/>
              <w:jc w:val="center"/>
              <w:rPr>
                <w:rFonts w:ascii="Times New Roman" w:hAnsi="Times New Roman" w:eastAsia="宋体" w:cs="Times New Roman"/>
                <w:bCs/>
                <w:kern w:val="0"/>
                <w:sz w:val="21"/>
                <w:szCs w:val="21"/>
              </w:rPr>
            </w:pPr>
            <w:r>
              <w:rPr>
                <w:rFonts w:ascii="Times New Roman" w:hAnsi="Times New Roman" w:eastAsia="宋体" w:cs="Times New Roman"/>
                <w:kern w:val="0"/>
                <w:sz w:val="21"/>
                <w:szCs w:val="21"/>
              </w:rPr>
              <w:t>西北侧厂界外（B2）</w:t>
            </w: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23YS11035-B2-1-1</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0.32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0.011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23YS11035-B2-1-2</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0.34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0.012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23YS11035-B2-1-3</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0.30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23YS11035-B2-1-4</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0.31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0.011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restart"/>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2023.11.29</w:t>
            </w:r>
          </w:p>
        </w:tc>
        <w:tc>
          <w:tcPr>
            <w:tcW w:w="864" w:type="pct"/>
            <w:vMerge w:val="restart"/>
            <w:vAlign w:val="center"/>
          </w:tcPr>
          <w:p>
            <w:pPr>
              <w:adjustRightInd w:val="0"/>
              <w:snapToGrid w:val="0"/>
              <w:ind w:left="-48" w:leftChars="-20" w:right="-48" w:rightChars="-20"/>
              <w:jc w:val="center"/>
              <w:rPr>
                <w:rFonts w:ascii="Times New Roman" w:hAnsi="Times New Roman" w:eastAsia="宋体" w:cs="Times New Roman"/>
                <w:bCs/>
                <w:kern w:val="0"/>
                <w:sz w:val="21"/>
                <w:szCs w:val="21"/>
              </w:rPr>
            </w:pPr>
            <w:r>
              <w:rPr>
                <w:rFonts w:ascii="Times New Roman" w:hAnsi="Times New Roman" w:eastAsia="宋体" w:cs="Times New Roman"/>
                <w:kern w:val="0"/>
                <w:sz w:val="21"/>
                <w:szCs w:val="21"/>
              </w:rPr>
              <w:t>东北侧厂界外（B1）</w:t>
            </w:r>
          </w:p>
        </w:tc>
        <w:tc>
          <w:tcPr>
            <w:tcW w:w="1373" w:type="pct"/>
            <w:vAlign w:val="center"/>
          </w:tcPr>
          <w:p>
            <w:pPr>
              <w:adjustRightInd w:val="0"/>
              <w:snapToGrid w:val="0"/>
              <w:jc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23YS11035-B1-2-1</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0.34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23YS11035-B1-2-2</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0.27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0.012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23YS11035-B1-2-3</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0.30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0.009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23YS11035-B1-2-4</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0.32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0.008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restart"/>
            <w:vAlign w:val="center"/>
          </w:tcPr>
          <w:p>
            <w:pPr>
              <w:adjustRightInd w:val="0"/>
              <w:snapToGrid w:val="0"/>
              <w:ind w:left="-48" w:leftChars="-20" w:right="-48" w:rightChars="-20"/>
              <w:jc w:val="center"/>
              <w:rPr>
                <w:rFonts w:ascii="Times New Roman" w:hAnsi="Times New Roman" w:eastAsia="宋体" w:cs="Times New Roman"/>
                <w:bCs/>
                <w:kern w:val="0"/>
                <w:sz w:val="21"/>
                <w:szCs w:val="21"/>
              </w:rPr>
            </w:pPr>
            <w:r>
              <w:rPr>
                <w:rFonts w:ascii="Times New Roman" w:hAnsi="Times New Roman" w:eastAsia="宋体" w:cs="Times New Roman"/>
                <w:kern w:val="0"/>
                <w:sz w:val="21"/>
                <w:szCs w:val="21"/>
              </w:rPr>
              <w:t>西北侧厂界外（B2）</w:t>
            </w: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23YS11035-B2-2-1</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0.53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0.008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23YS11035-B2-2-2</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0.38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0.011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23YS11035-B2-2-3</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0.51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0.011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864" w:type="pct"/>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37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23YS11035-B2-2-4</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0.44 </w:t>
            </w:r>
          </w:p>
        </w:tc>
        <w:tc>
          <w:tcPr>
            <w:tcW w:w="735"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0.012 </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2" w:type="pct"/>
            <w:gridSpan w:val="3"/>
            <w:vAlign w:val="center"/>
          </w:tcPr>
          <w:p>
            <w:pPr>
              <w:adjustRightInd w:val="0"/>
              <w:snapToGrid w:val="0"/>
              <w:ind w:left="-120" w:leftChars="-50" w:right="-120" w:rightChars="-50"/>
              <w:jc w:val="center"/>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方法检出限</w:t>
            </w: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0.01</w:t>
            </w:r>
          </w:p>
        </w:tc>
        <w:tc>
          <w:tcPr>
            <w:tcW w:w="735" w:type="pct"/>
            <w:vAlign w:val="center"/>
          </w:tcPr>
          <w:p>
            <w:pPr>
              <w:tabs>
                <w:tab w:val="left" w:pos="2160"/>
              </w:tabs>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0.001</w:t>
            </w:r>
          </w:p>
        </w:tc>
        <w:tc>
          <w:tcPr>
            <w:tcW w:w="737" w:type="pct"/>
            <w:vAlign w:val="center"/>
          </w:tcPr>
          <w:p>
            <w:pPr>
              <w:tabs>
                <w:tab w:val="left" w:pos="2160"/>
              </w:tabs>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2" w:type="pct"/>
            <w:gridSpan w:val="3"/>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评价标准值</w:t>
            </w:r>
          </w:p>
        </w:tc>
        <w:tc>
          <w:tcPr>
            <w:tcW w:w="735"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1.5</w:t>
            </w:r>
          </w:p>
        </w:tc>
        <w:tc>
          <w:tcPr>
            <w:tcW w:w="735"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0.06</w:t>
            </w:r>
          </w:p>
        </w:tc>
        <w:tc>
          <w:tcPr>
            <w:tcW w:w="737"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55"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评价依据</w:t>
            </w:r>
          </w:p>
        </w:tc>
        <w:tc>
          <w:tcPr>
            <w:tcW w:w="4444" w:type="pct"/>
            <w:gridSpan w:val="5"/>
            <w:vAlign w:val="center"/>
          </w:tcPr>
          <w:p>
            <w:pPr>
              <w:adjustRightInd w:val="0"/>
              <w:snapToGrid w:val="0"/>
              <w:jc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《恶臭污染物排放标准》(GB/T 14554-1993)表1中二级新扩改建标准值。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检测结论</w:t>
            </w:r>
          </w:p>
        </w:tc>
        <w:tc>
          <w:tcPr>
            <w:tcW w:w="4444" w:type="pct"/>
            <w:gridSpan w:val="5"/>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本次检测，废气无组织检测点B1、B2处氨、硫化氢、臭气浓度检测结果均满足《恶臭污染物排放标准》(GB/T 14554-1993)表1中二级新扩改建标准要求</w:t>
            </w: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Align w:val="center"/>
          </w:tcPr>
          <w:p>
            <w:pPr>
              <w:adjustRightInd w:val="0"/>
              <w:snapToGrid w:val="0"/>
              <w:ind w:left="-120" w:leftChars="-50" w:right="-120" w:rightChars="-50"/>
              <w:jc w:val="center"/>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备注</w:t>
            </w:r>
          </w:p>
        </w:tc>
        <w:tc>
          <w:tcPr>
            <w:tcW w:w="4444" w:type="pct"/>
            <w:gridSpan w:val="5"/>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bCs/>
                <w:sz w:val="21"/>
                <w:szCs w:val="21"/>
              </w:rPr>
              <w:t>/</w:t>
            </w:r>
          </w:p>
        </w:tc>
      </w:tr>
    </w:tbl>
    <w:p>
      <w:pPr>
        <w:spacing w:before="50" w:line="360" w:lineRule="auto"/>
        <w:jc w:val="center"/>
        <w:rPr>
          <w:rFonts w:ascii="Times New Roman" w:hAnsi="Times New Roman" w:eastAsia="宋体" w:cs="Times New Roman"/>
          <w:b/>
          <w:color w:val="000000"/>
        </w:rPr>
      </w:pPr>
      <w:r>
        <w:rPr>
          <w:rFonts w:hint="eastAsia" w:ascii="Times New Roman" w:hAnsi="Times New Roman" w:eastAsia="宋体" w:cs="Times New Roman"/>
          <w:b/>
          <w:color w:val="000000"/>
        </w:rPr>
        <w:t>表9</w:t>
      </w:r>
      <w:r>
        <w:rPr>
          <w:rFonts w:ascii="Times New Roman" w:hAnsi="Times New Roman" w:eastAsia="宋体" w:cs="Times New Roman"/>
          <w:b/>
          <w:color w:val="000000"/>
        </w:rPr>
        <w:t>.2-2</w:t>
      </w:r>
      <w:r>
        <w:rPr>
          <w:rFonts w:hint="eastAsia" w:ascii="Times New Roman" w:hAnsi="Times New Roman" w:eastAsia="宋体" w:cs="Times New Roman"/>
          <w:b/>
          <w:color w:val="000000"/>
        </w:rPr>
        <w:t xml:space="preserve">  废气无组织检测结果一览表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50"/>
        <w:gridCol w:w="1078"/>
        <w:gridCol w:w="2751"/>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restart"/>
            <w:vAlign w:val="center"/>
          </w:tcPr>
          <w:p>
            <w:pPr>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检测日期</w:t>
            </w:r>
          </w:p>
        </w:tc>
        <w:tc>
          <w:tcPr>
            <w:tcW w:w="2626" w:type="pct"/>
            <w:gridSpan w:val="3"/>
            <w:vMerge w:val="restart"/>
            <w:vAlign w:val="center"/>
          </w:tcPr>
          <w:p>
            <w:pPr>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测点位置及编号</w:t>
            </w: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氨</w:t>
            </w: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tabs>
                <w:tab w:val="left" w:pos="2160"/>
              </w:tabs>
              <w:adjustRightInd w:val="0"/>
              <w:snapToGrid w:val="0"/>
              <w:ind w:left="-120" w:leftChars="-50" w:right="-120" w:rightChars="-50"/>
              <w:jc w:val="center"/>
              <w:rPr>
                <w:rFonts w:ascii="Times New Roman" w:hAnsi="Times New Roman" w:eastAsia="宋体" w:cs="Times New Roman"/>
                <w:sz w:val="21"/>
              </w:rPr>
            </w:pPr>
          </w:p>
        </w:tc>
        <w:tc>
          <w:tcPr>
            <w:tcW w:w="2626" w:type="pct"/>
            <w:gridSpan w:val="3"/>
            <w:vMerge w:val="continue"/>
            <w:vAlign w:val="center"/>
          </w:tcPr>
          <w:p>
            <w:pPr>
              <w:tabs>
                <w:tab w:val="left" w:pos="2160"/>
              </w:tabs>
              <w:adjustRightInd w:val="0"/>
              <w:snapToGrid w:val="0"/>
              <w:ind w:left="-120" w:leftChars="-50" w:right="-120" w:rightChars="-50"/>
              <w:jc w:val="center"/>
              <w:rPr>
                <w:rFonts w:ascii="Times New Roman" w:hAnsi="Times New Roman" w:eastAsia="宋体" w:cs="Times New Roman"/>
                <w:sz w:val="21"/>
              </w:rPr>
            </w:pP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mg/m</w:t>
            </w:r>
            <w:r>
              <w:rPr>
                <w:rFonts w:ascii="Times New Roman" w:hAnsi="Times New Roman" w:eastAsia="宋体" w:cs="Times New Roman"/>
                <w:b/>
                <w:color w:val="000000"/>
                <w:kern w:val="0"/>
                <w:sz w:val="21"/>
                <w:szCs w:val="21"/>
                <w:vertAlign w:val="superscript"/>
              </w:rPr>
              <w:t>3</w:t>
            </w: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mg/m</w:t>
            </w:r>
            <w:r>
              <w:rPr>
                <w:rFonts w:ascii="Times New Roman" w:hAnsi="Times New Roman" w:eastAsia="宋体" w:cs="Times New Roman"/>
                <w:b/>
                <w:color w:val="000000"/>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9" w:type="pct"/>
            <w:vMerge w:val="restart"/>
            <w:vAlign w:val="center"/>
          </w:tcPr>
          <w:p>
            <w:pPr>
              <w:widowControl/>
              <w:adjustRightInd w:val="0"/>
              <w:snapToGrid w:val="0"/>
              <w:ind w:left="-120" w:leftChars="-50" w:right="-120" w:rightChars="-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2023.11.28</w:t>
            </w:r>
          </w:p>
        </w:tc>
        <w:tc>
          <w:tcPr>
            <w:tcW w:w="1013" w:type="pct"/>
            <w:gridSpan w:val="2"/>
            <w:vMerge w:val="restart"/>
            <w:vAlign w:val="center"/>
          </w:tcPr>
          <w:p>
            <w:pPr>
              <w:adjustRightInd w:val="0"/>
              <w:snapToGrid w:val="0"/>
              <w:ind w:left="-48" w:leftChars="-20" w:right="-48" w:rightChars="-20"/>
              <w:jc w:val="center"/>
              <w:rPr>
                <w:rFonts w:ascii="Times New Roman" w:hAnsi="Times New Roman" w:eastAsia="宋体" w:cs="Times New Roman"/>
                <w:color w:val="000000"/>
                <w:sz w:val="21"/>
                <w:szCs w:val="21"/>
              </w:rPr>
            </w:pPr>
            <w:r>
              <w:rPr>
                <w:rFonts w:ascii="Times New Roman" w:hAnsi="Times New Roman" w:eastAsia="宋体" w:cs="Times New Roman"/>
                <w:kern w:val="0"/>
                <w:sz w:val="21"/>
                <w:szCs w:val="21"/>
              </w:rPr>
              <w:t>厂区西侧环境敏感点（B3）</w:t>
            </w:r>
          </w:p>
        </w:tc>
        <w:tc>
          <w:tcPr>
            <w:tcW w:w="161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23YS11035-B3-1-1</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0.11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23YS11035-B3-1-2</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0.09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23YS11035-B3-1-3</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0.10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widowControl/>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23YS11035-B3-1-4</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0.10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restart"/>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2023.11.29</w:t>
            </w:r>
          </w:p>
        </w:tc>
        <w:tc>
          <w:tcPr>
            <w:tcW w:w="1013" w:type="pct"/>
            <w:gridSpan w:val="2"/>
            <w:vMerge w:val="restart"/>
            <w:vAlign w:val="center"/>
          </w:tcPr>
          <w:p>
            <w:pPr>
              <w:adjustRightInd w:val="0"/>
              <w:snapToGrid w:val="0"/>
              <w:ind w:left="-48" w:leftChars="-20" w:right="-48" w:rightChars="-20"/>
              <w:jc w:val="center"/>
              <w:rPr>
                <w:rFonts w:ascii="Times New Roman" w:hAnsi="Times New Roman" w:eastAsia="宋体" w:cs="Times New Roman"/>
                <w:bCs/>
                <w:kern w:val="0"/>
                <w:sz w:val="21"/>
                <w:szCs w:val="21"/>
              </w:rPr>
            </w:pPr>
            <w:r>
              <w:rPr>
                <w:rFonts w:ascii="Times New Roman" w:hAnsi="Times New Roman" w:eastAsia="宋体" w:cs="Times New Roman"/>
                <w:kern w:val="0"/>
                <w:sz w:val="21"/>
                <w:szCs w:val="21"/>
              </w:rPr>
              <w:t>厂区西侧环境敏感点（B3）</w:t>
            </w:r>
          </w:p>
        </w:tc>
        <w:tc>
          <w:tcPr>
            <w:tcW w:w="161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23YS11035-B3-2-1</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0.13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23YS11035-B3-2-2</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0.11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23YS11035-B3-2-3</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0.12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Merge w:val="continue"/>
            <w:vAlign w:val="center"/>
          </w:tcPr>
          <w:p>
            <w:pPr>
              <w:adjustRightInd w:val="0"/>
              <w:snapToGrid w:val="0"/>
              <w:ind w:left="-120" w:leftChars="-50" w:right="-120" w:rightChars="-50"/>
              <w:jc w:val="center"/>
              <w:rPr>
                <w:rFonts w:ascii="Times New Roman" w:hAnsi="Times New Roman" w:eastAsia="宋体" w:cs="Times New Roman"/>
                <w:sz w:val="21"/>
                <w:szCs w:val="21"/>
              </w:rPr>
            </w:pPr>
          </w:p>
        </w:tc>
        <w:tc>
          <w:tcPr>
            <w:tcW w:w="10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kern w:val="0"/>
                <w:sz w:val="21"/>
                <w:szCs w:val="21"/>
              </w:rPr>
            </w:pPr>
          </w:p>
        </w:tc>
        <w:tc>
          <w:tcPr>
            <w:tcW w:w="1613" w:type="pct"/>
            <w:vAlign w:val="center"/>
          </w:tcPr>
          <w:p>
            <w:pPr>
              <w:adjustRightInd w:val="0"/>
              <w:snapToGrid w:val="0"/>
              <w:jc w:val="center"/>
              <w:rPr>
                <w:rFonts w:ascii="Times New Roman" w:hAnsi="Times New Roman" w:eastAsia="宋体" w:cs="Times New Roman"/>
                <w:bCs/>
                <w:color w:val="000000"/>
                <w:kern w:val="0"/>
                <w:sz w:val="21"/>
                <w:szCs w:val="21"/>
              </w:rPr>
            </w:pPr>
            <w:r>
              <w:rPr>
                <w:rFonts w:ascii="Times New Roman" w:hAnsi="Times New Roman" w:eastAsia="宋体" w:cs="Times New Roman"/>
                <w:sz w:val="21"/>
                <w:szCs w:val="21"/>
              </w:rPr>
              <w:t>23YS11035-B3-2-4</w:t>
            </w:r>
          </w:p>
        </w:tc>
        <w:tc>
          <w:tcPr>
            <w:tcW w:w="1748" w:type="dxa"/>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0.13 </w:t>
            </w:r>
          </w:p>
        </w:tc>
        <w:tc>
          <w:tcPr>
            <w:tcW w:w="862" w:type="pct"/>
            <w:vAlign w:val="center"/>
          </w:tcPr>
          <w:p>
            <w:pPr>
              <w:widowControl/>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color w:val="000000"/>
                <w:kern w:val="0"/>
                <w:sz w:val="21"/>
                <w:szCs w:val="21"/>
                <w:lang w:bidi="ar"/>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5" w:type="pct"/>
            <w:gridSpan w:val="4"/>
            <w:vAlign w:val="center"/>
          </w:tcPr>
          <w:p>
            <w:pPr>
              <w:adjustRightInd w:val="0"/>
              <w:snapToGrid w:val="0"/>
              <w:ind w:left="-120" w:leftChars="-50" w:right="-120" w:rightChars="-50"/>
              <w:jc w:val="center"/>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方法检出限</w:t>
            </w: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0.01</w:t>
            </w:r>
          </w:p>
        </w:tc>
        <w:tc>
          <w:tcPr>
            <w:tcW w:w="862" w:type="pct"/>
            <w:vAlign w:val="center"/>
          </w:tcPr>
          <w:p>
            <w:pPr>
              <w:tabs>
                <w:tab w:val="left" w:pos="2160"/>
              </w:tabs>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5" w:type="pct"/>
            <w:gridSpan w:val="4"/>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评价标准值</w:t>
            </w:r>
          </w:p>
        </w:tc>
        <w:tc>
          <w:tcPr>
            <w:tcW w:w="862"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0.200</w:t>
            </w:r>
          </w:p>
        </w:tc>
        <w:tc>
          <w:tcPr>
            <w:tcW w:w="862" w:type="pct"/>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0" w:type="pct"/>
            <w:gridSpan w:val="2"/>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评价依据</w:t>
            </w:r>
          </w:p>
        </w:tc>
        <w:tc>
          <w:tcPr>
            <w:tcW w:w="3969" w:type="pct"/>
            <w:gridSpan w:val="4"/>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《环境影响评价技术导则 大气环境》（HJ 2.2-2018）附录D表D.1其他污染物空气质量浓度参考限值。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0" w:type="pct"/>
            <w:gridSpan w:val="2"/>
            <w:vAlign w:val="center"/>
          </w:tcPr>
          <w:p>
            <w:pPr>
              <w:adjustRightInd w:val="0"/>
              <w:snapToGrid w:val="0"/>
              <w:ind w:left="-120" w:leftChars="-50" w:right="-120" w:rightChars="-5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检测结论</w:t>
            </w:r>
          </w:p>
        </w:tc>
        <w:tc>
          <w:tcPr>
            <w:tcW w:w="3969" w:type="pct"/>
            <w:gridSpan w:val="4"/>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本次检测，废气无组织检测点B3处氨、硫化氢检测结果均满足《环境影响评价技术导则 大气环境》（HJ 2.2-2018）附录D表D.1其他污染物空气质量浓度参考要求</w:t>
            </w: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0" w:type="pct"/>
            <w:gridSpan w:val="2"/>
            <w:vAlign w:val="center"/>
          </w:tcPr>
          <w:p>
            <w:pPr>
              <w:adjustRightInd w:val="0"/>
              <w:snapToGrid w:val="0"/>
              <w:ind w:left="-120" w:leftChars="-50" w:right="-120" w:rightChars="-50"/>
              <w:jc w:val="center"/>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备注</w:t>
            </w:r>
          </w:p>
        </w:tc>
        <w:tc>
          <w:tcPr>
            <w:tcW w:w="3969" w:type="pct"/>
            <w:gridSpan w:val="4"/>
            <w:vAlign w:val="center"/>
          </w:tcPr>
          <w:p>
            <w:pPr>
              <w:adjustRightInd w:val="0"/>
              <w:snapToGrid w:val="0"/>
              <w:ind w:left="-120" w:leftChars="-50" w:right="-120" w:rightChars="-50"/>
              <w:jc w:val="center"/>
              <w:rPr>
                <w:rFonts w:ascii="Times New Roman" w:hAnsi="Times New Roman" w:eastAsia="宋体" w:cs="Times New Roman"/>
                <w:kern w:val="0"/>
                <w:sz w:val="21"/>
                <w:szCs w:val="21"/>
              </w:rPr>
            </w:pPr>
            <w:r>
              <w:rPr>
                <w:rFonts w:ascii="Times New Roman" w:hAnsi="Times New Roman" w:eastAsia="宋体" w:cs="Times New Roman"/>
                <w:bCs/>
                <w:sz w:val="21"/>
                <w:szCs w:val="21"/>
              </w:rPr>
              <w:t>/</w:t>
            </w:r>
          </w:p>
        </w:tc>
      </w:tr>
    </w:tbl>
    <w:p>
      <w:pPr>
        <w:spacing w:before="50" w:line="360" w:lineRule="auto"/>
        <w:jc w:val="center"/>
        <w:rPr>
          <w:rFonts w:ascii="Times New Roman" w:hAnsi="Times New Roman" w:eastAsia="宋体" w:cs="Times New Roman"/>
          <w:b/>
          <w:color w:val="000000"/>
        </w:rPr>
      </w:pPr>
    </w:p>
    <w:p>
      <w:pPr>
        <w:spacing w:before="50" w:line="360" w:lineRule="auto"/>
        <w:jc w:val="center"/>
        <w:rPr>
          <w:rFonts w:ascii="Times New Roman" w:hAnsi="Times New Roman" w:eastAsia="宋体" w:cs="Times New Roman"/>
          <w:b/>
          <w:color w:val="000000"/>
        </w:rPr>
      </w:pPr>
    </w:p>
    <w:p>
      <w:pPr>
        <w:spacing w:before="50" w:line="360" w:lineRule="auto"/>
        <w:rPr>
          <w:rFonts w:ascii="Times New Roman" w:hAnsi="Times New Roman" w:eastAsia="宋体" w:cs="Times New Roman"/>
          <w:b/>
          <w:color w:val="000000"/>
        </w:rPr>
        <w:sectPr>
          <w:pgSz w:w="11906" w:h="16838"/>
          <w:pgMar w:top="1440" w:right="1797" w:bottom="1440" w:left="1797" w:header="851" w:footer="510" w:gutter="0"/>
          <w:cols w:space="720" w:num="1"/>
          <w:docGrid w:type="lines" w:linePitch="312" w:charSpace="0"/>
        </w:sectPr>
      </w:pPr>
    </w:p>
    <w:p>
      <w:pPr>
        <w:pStyle w:val="3"/>
        <w:rPr>
          <w:rFonts w:cs="Times New Roman"/>
          <w:color w:val="000000"/>
          <w:szCs w:val="32"/>
        </w:rPr>
      </w:pPr>
      <w:bookmarkStart w:id="236" w:name="_Toc102039320"/>
      <w:r>
        <w:rPr>
          <w:rFonts w:cs="Times New Roman"/>
          <w:color w:val="000000"/>
          <w:szCs w:val="32"/>
        </w:rPr>
        <w:t xml:space="preserve">9.3 </w:t>
      </w:r>
      <w:bookmarkEnd w:id="236"/>
      <w:r>
        <w:rPr>
          <w:rFonts w:hint="eastAsia" w:cs="Times New Roman"/>
          <w:color w:val="000000"/>
          <w:szCs w:val="32"/>
        </w:rPr>
        <w:t>土壤</w:t>
      </w:r>
    </w:p>
    <w:p>
      <w:pPr>
        <w:spacing w:line="480" w:lineRule="exact"/>
        <w:jc w:val="center"/>
        <w:rPr>
          <w:rFonts w:ascii="Times New Roman" w:hAnsi="Times New Roman" w:eastAsia="宋体" w:cs="Times New Roman"/>
          <w:b/>
          <w:color w:val="000000"/>
        </w:rPr>
      </w:pPr>
      <w:r>
        <w:rPr>
          <w:rFonts w:ascii="Times New Roman" w:hAnsi="Times New Roman" w:eastAsia="宋体" w:cs="Times New Roman"/>
          <w:b/>
          <w:color w:val="000000"/>
        </w:rPr>
        <w:t>表9.3-1  土壤检测结果一览表</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87"/>
        <w:gridCol w:w="1212"/>
        <w:gridCol w:w="958"/>
        <w:gridCol w:w="789"/>
        <w:gridCol w:w="630"/>
        <w:gridCol w:w="990"/>
        <w:gridCol w:w="990"/>
        <w:gridCol w:w="990"/>
        <w:gridCol w:w="990"/>
        <w:gridCol w:w="990"/>
        <w:gridCol w:w="990"/>
        <w:gridCol w:w="990"/>
        <w:gridCol w:w="99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7" w:type="pct"/>
            <w:vMerge w:val="restart"/>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采样</w:t>
            </w:r>
          </w:p>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日期</w:t>
            </w:r>
          </w:p>
        </w:tc>
        <w:tc>
          <w:tcPr>
            <w:tcW w:w="913" w:type="pct"/>
            <w:gridSpan w:val="2"/>
            <w:vMerge w:val="restart"/>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检测位置及频次</w:t>
            </w:r>
          </w:p>
        </w:tc>
        <w:tc>
          <w:tcPr>
            <w:tcW w:w="324" w:type="pct"/>
            <w:vMerge w:val="restart"/>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经度</w:t>
            </w:r>
          </w:p>
        </w:tc>
        <w:tc>
          <w:tcPr>
            <w:tcW w:w="266" w:type="pct"/>
            <w:vMerge w:val="restart"/>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纬度</w:t>
            </w:r>
          </w:p>
        </w:tc>
        <w:tc>
          <w:tcPr>
            <w:tcW w:w="213" w:type="pct"/>
            <w:vMerge w:val="restart"/>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采样深度（m）</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sz w:val="21"/>
                <w:szCs w:val="21"/>
              </w:rPr>
              <w:t>pH值</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锌</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铜</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镉</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铬</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铅</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砷</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汞</w:t>
            </w:r>
          </w:p>
        </w:tc>
        <w:tc>
          <w:tcPr>
            <w:tcW w:w="345"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干物质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7" w:type="pct"/>
            <w:vMerge w:val="continue"/>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p>
        </w:tc>
        <w:tc>
          <w:tcPr>
            <w:tcW w:w="913" w:type="pct"/>
            <w:gridSpan w:val="2"/>
            <w:vMerge w:val="continue"/>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p>
        </w:tc>
        <w:tc>
          <w:tcPr>
            <w:tcW w:w="324" w:type="pct"/>
            <w:vMerge w:val="continue"/>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p>
        </w:tc>
        <w:tc>
          <w:tcPr>
            <w:tcW w:w="266" w:type="pct"/>
            <w:vMerge w:val="continue"/>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p>
        </w:tc>
        <w:tc>
          <w:tcPr>
            <w:tcW w:w="213" w:type="pct"/>
            <w:vMerge w:val="continue"/>
            <w:vAlign w:val="center"/>
          </w:tcPr>
          <w:p>
            <w:pPr>
              <w:adjustRightInd w:val="0"/>
              <w:snapToGrid w:val="0"/>
              <w:ind w:left="-120" w:leftChars="-50" w:right="-120" w:rightChars="-50"/>
              <w:jc w:val="center"/>
              <w:rPr>
                <w:rFonts w:ascii="Times New Roman" w:hAnsi="Times New Roman" w:eastAsia="宋体" w:cs="Times New Roman"/>
                <w:b/>
                <w:kern w:val="0"/>
                <w:sz w:val="21"/>
                <w:szCs w:val="21"/>
              </w:rPr>
            </w:pP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无量纲</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34"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mg/kg</w:t>
            </w:r>
          </w:p>
        </w:tc>
        <w:tc>
          <w:tcPr>
            <w:tcW w:w="345" w:type="pct"/>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restart"/>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2023.11.28</w:t>
            </w:r>
          </w:p>
        </w:tc>
        <w:tc>
          <w:tcPr>
            <w:tcW w:w="503"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西北侧（S1）</w:t>
            </w:r>
          </w:p>
        </w:tc>
        <w:tc>
          <w:tcPr>
            <w:tcW w:w="410"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sz w:val="21"/>
                <w:szCs w:val="21"/>
              </w:rPr>
              <w:t>23YS11035-S1-1</w:t>
            </w:r>
          </w:p>
        </w:tc>
        <w:tc>
          <w:tcPr>
            <w:tcW w:w="324"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106.295273°</w:t>
            </w:r>
          </w:p>
        </w:tc>
        <w:tc>
          <w:tcPr>
            <w:tcW w:w="266"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30.217660°</w:t>
            </w:r>
          </w:p>
        </w:tc>
        <w:tc>
          <w:tcPr>
            <w:tcW w:w="213"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7.47</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105</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19.2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0.30</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64.8</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30.8</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3.88</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0.0382</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vAlign w:val="center"/>
          </w:tcPr>
          <w:p>
            <w:pPr>
              <w:adjustRightInd w:val="0"/>
              <w:snapToGrid w:val="0"/>
              <w:jc w:val="center"/>
              <w:rPr>
                <w:rFonts w:ascii="Times New Roman" w:hAnsi="Times New Roman" w:eastAsia="宋体" w:cs="Times New Roman"/>
                <w:sz w:val="21"/>
                <w:szCs w:val="21"/>
              </w:rPr>
            </w:pPr>
          </w:p>
        </w:tc>
        <w:tc>
          <w:tcPr>
            <w:tcW w:w="503"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西南侧（S2）</w:t>
            </w:r>
          </w:p>
        </w:tc>
        <w:tc>
          <w:tcPr>
            <w:tcW w:w="410"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sz w:val="21"/>
                <w:szCs w:val="21"/>
              </w:rPr>
              <w:t>23YS11035-S2-1</w:t>
            </w:r>
          </w:p>
        </w:tc>
        <w:tc>
          <w:tcPr>
            <w:tcW w:w="324"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106.295692°</w:t>
            </w:r>
          </w:p>
        </w:tc>
        <w:tc>
          <w:tcPr>
            <w:tcW w:w="266"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30.216011°</w:t>
            </w:r>
          </w:p>
        </w:tc>
        <w:tc>
          <w:tcPr>
            <w:tcW w:w="213"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7.89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111</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12.9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3.03</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69.9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28.5</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4.09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0.0156</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vAlign w:val="center"/>
          </w:tcPr>
          <w:p>
            <w:pPr>
              <w:adjustRightInd w:val="0"/>
              <w:snapToGrid w:val="0"/>
              <w:jc w:val="center"/>
              <w:rPr>
                <w:rFonts w:ascii="Times New Roman" w:hAnsi="Times New Roman" w:eastAsia="宋体" w:cs="Times New Roman"/>
                <w:sz w:val="21"/>
                <w:szCs w:val="21"/>
              </w:rPr>
            </w:pPr>
          </w:p>
        </w:tc>
        <w:tc>
          <w:tcPr>
            <w:tcW w:w="503"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南侧（S3）</w:t>
            </w:r>
          </w:p>
        </w:tc>
        <w:tc>
          <w:tcPr>
            <w:tcW w:w="410" w:type="pct"/>
            <w:vAlign w:val="center"/>
          </w:tcPr>
          <w:p>
            <w:pPr>
              <w:widowControl/>
              <w:ind w:left="-120" w:leftChars="-50" w:right="-120" w:rightChars="-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23YS11035-S3-1</w:t>
            </w:r>
          </w:p>
        </w:tc>
        <w:tc>
          <w:tcPr>
            <w:tcW w:w="324"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106.295648°</w:t>
            </w:r>
          </w:p>
        </w:tc>
        <w:tc>
          <w:tcPr>
            <w:tcW w:w="266"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30.215945°</w:t>
            </w:r>
          </w:p>
        </w:tc>
        <w:tc>
          <w:tcPr>
            <w:tcW w:w="213"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6.69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113</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17.9</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0.24</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79.2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39.6</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7.31</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0.368</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vAlign w:val="center"/>
          </w:tcPr>
          <w:p>
            <w:pPr>
              <w:adjustRightInd w:val="0"/>
              <w:snapToGrid w:val="0"/>
              <w:jc w:val="center"/>
              <w:rPr>
                <w:rFonts w:ascii="Times New Roman" w:hAnsi="Times New Roman" w:eastAsia="宋体" w:cs="Times New Roman"/>
                <w:sz w:val="21"/>
                <w:szCs w:val="21"/>
              </w:rPr>
            </w:pPr>
          </w:p>
        </w:tc>
        <w:tc>
          <w:tcPr>
            <w:tcW w:w="503"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东侧（S4）</w:t>
            </w:r>
          </w:p>
        </w:tc>
        <w:tc>
          <w:tcPr>
            <w:tcW w:w="410"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sz w:val="21"/>
                <w:szCs w:val="21"/>
              </w:rPr>
              <w:t>23YS11035-S4-1</w:t>
            </w:r>
          </w:p>
        </w:tc>
        <w:tc>
          <w:tcPr>
            <w:tcW w:w="324"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106.296399°</w:t>
            </w:r>
          </w:p>
        </w:tc>
        <w:tc>
          <w:tcPr>
            <w:tcW w:w="266" w:type="pct"/>
            <w:vAlign w:val="center"/>
          </w:tcPr>
          <w:p>
            <w:pPr>
              <w:widowControl/>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30.216767°</w:t>
            </w:r>
          </w:p>
        </w:tc>
        <w:tc>
          <w:tcPr>
            <w:tcW w:w="213"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7.41</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107</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16.2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4.12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70.2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28.4</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3.32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0.0223</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pct"/>
            <w:gridSpan w:val="6"/>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方法检出限</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2.0</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1.2</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0.01</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3.0</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2.0</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0.01</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0.002</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pct"/>
            <w:gridSpan w:val="6"/>
            <w:vAlign w:val="center"/>
          </w:tcPr>
          <w:p>
            <w:pPr>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评价标准值（6.5＜</w:t>
            </w:r>
            <w:r>
              <w:rPr>
                <w:rFonts w:ascii="Times New Roman" w:hAnsi="Times New Roman" w:eastAsia="宋体" w:cs="Times New Roman"/>
                <w:sz w:val="21"/>
                <w:szCs w:val="21"/>
              </w:rPr>
              <w:t>pH值≤7.5</w:t>
            </w:r>
            <w:r>
              <w:rPr>
                <w:rFonts w:ascii="Times New Roman" w:hAnsi="Times New Roman" w:eastAsia="宋体" w:cs="Times New Roman"/>
                <w:color w:val="000000"/>
                <w:sz w:val="21"/>
                <w:szCs w:val="21"/>
              </w:rPr>
              <w:t>）</w:t>
            </w:r>
          </w:p>
        </w:tc>
        <w:tc>
          <w:tcPr>
            <w:tcW w:w="334"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c>
          <w:tcPr>
            <w:tcW w:w="334" w:type="pct"/>
            <w:vAlign w:val="center"/>
          </w:tcPr>
          <w:p>
            <w:pPr>
              <w:widowControl/>
              <w:ind w:left="-120" w:leftChars="-50" w:right="-120" w:rightChars="-50"/>
              <w:jc w:val="center"/>
              <w:textAlignment w:val="center"/>
              <w:rPr>
                <w:rFonts w:hint="eastAsia" w:ascii="Times New Roman" w:hAnsi="Times New Roman" w:eastAsia="宋体" w:cs="Times New Roman"/>
                <w:color w:val="000000"/>
                <w:kern w:val="0"/>
                <w:sz w:val="21"/>
                <w:szCs w:val="21"/>
                <w:lang w:eastAsia="zh-CN" w:bidi="ar"/>
              </w:rPr>
            </w:pPr>
            <w:r>
              <w:rPr>
                <w:rFonts w:hint="eastAsia" w:ascii="Times New Roman" w:hAnsi="Times New Roman" w:eastAsia="宋体" w:cs="Times New Roman"/>
                <w:color w:val="000000"/>
                <w:kern w:val="0"/>
                <w:sz w:val="21"/>
                <w:szCs w:val="21"/>
                <w:lang w:val="en-US" w:eastAsia="zh-CN" w:bidi="ar"/>
              </w:rPr>
              <w:t>/</w:t>
            </w:r>
          </w:p>
        </w:tc>
        <w:tc>
          <w:tcPr>
            <w:tcW w:w="334" w:type="pct"/>
            <w:vAlign w:val="center"/>
          </w:tcPr>
          <w:p>
            <w:pPr>
              <w:widowControl/>
              <w:ind w:left="-120" w:leftChars="-50" w:right="-120" w:rightChars="-5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18000</w:t>
            </w:r>
          </w:p>
        </w:tc>
        <w:tc>
          <w:tcPr>
            <w:tcW w:w="334" w:type="pct"/>
            <w:vAlign w:val="center"/>
          </w:tcPr>
          <w:p>
            <w:pPr>
              <w:widowControl/>
              <w:ind w:left="-120" w:leftChars="-50" w:right="-120" w:rightChars="-5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65</w:t>
            </w:r>
          </w:p>
        </w:tc>
        <w:tc>
          <w:tcPr>
            <w:tcW w:w="334" w:type="pct"/>
            <w:vAlign w:val="center"/>
          </w:tcPr>
          <w:p>
            <w:pPr>
              <w:widowControl/>
              <w:ind w:left="-120" w:leftChars="-50" w:right="-120" w:rightChars="-50"/>
              <w:jc w:val="center"/>
              <w:textAlignment w:val="center"/>
              <w:rPr>
                <w:rFonts w:hint="eastAsia" w:ascii="Times New Roman" w:hAnsi="Times New Roman" w:eastAsia="宋体" w:cs="Times New Roman"/>
                <w:color w:val="000000"/>
                <w:kern w:val="0"/>
                <w:sz w:val="21"/>
                <w:szCs w:val="21"/>
                <w:lang w:eastAsia="zh-CN" w:bidi="ar"/>
              </w:rPr>
            </w:pPr>
            <w:r>
              <w:rPr>
                <w:rFonts w:hint="eastAsia" w:ascii="Times New Roman" w:hAnsi="Times New Roman" w:eastAsia="宋体" w:cs="Times New Roman"/>
                <w:color w:val="000000"/>
                <w:kern w:val="0"/>
                <w:sz w:val="21"/>
                <w:szCs w:val="21"/>
                <w:lang w:val="en-US" w:eastAsia="zh-CN" w:bidi="ar"/>
              </w:rPr>
              <w:t>/</w:t>
            </w:r>
          </w:p>
        </w:tc>
        <w:tc>
          <w:tcPr>
            <w:tcW w:w="334" w:type="pct"/>
            <w:vAlign w:val="center"/>
          </w:tcPr>
          <w:p>
            <w:pPr>
              <w:widowControl/>
              <w:ind w:left="-120" w:leftChars="-50" w:right="-120" w:rightChars="-5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800</w:t>
            </w:r>
          </w:p>
        </w:tc>
        <w:tc>
          <w:tcPr>
            <w:tcW w:w="334" w:type="pct"/>
            <w:vAlign w:val="center"/>
          </w:tcPr>
          <w:p>
            <w:pPr>
              <w:widowControl/>
              <w:ind w:left="-120" w:leftChars="-50" w:right="-120" w:rightChars="-5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w:t>
            </w:r>
          </w:p>
        </w:tc>
        <w:tc>
          <w:tcPr>
            <w:tcW w:w="334" w:type="pct"/>
            <w:vAlign w:val="center"/>
          </w:tcPr>
          <w:p>
            <w:pPr>
              <w:widowControl/>
              <w:ind w:left="-120" w:leftChars="-50" w:right="-120" w:rightChars="-5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38</w:t>
            </w:r>
          </w:p>
        </w:tc>
        <w:tc>
          <w:tcPr>
            <w:tcW w:w="345" w:type="pct"/>
            <w:vAlign w:val="center"/>
          </w:tcPr>
          <w:p>
            <w:pPr>
              <w:widowControl/>
              <w:ind w:left="-120" w:leftChars="-50" w:right="-120" w:rightChars="-50"/>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pct"/>
            <w:gridSpan w:val="2"/>
            <w:vAlign w:val="center"/>
          </w:tcPr>
          <w:p>
            <w:pPr>
              <w:adjustRightInd w:val="0"/>
              <w:snapToGrid w:val="0"/>
              <w:jc w:val="center"/>
              <w:rPr>
                <w:rFonts w:ascii="Times New Roman" w:hAnsi="Times New Roman" w:eastAsia="宋体" w:cs="Times New Roman"/>
                <w:color w:val="000000"/>
                <w:kern w:val="0"/>
                <w:sz w:val="21"/>
                <w:szCs w:val="21"/>
                <w:lang w:bidi="ar"/>
              </w:rPr>
            </w:pPr>
            <w:r>
              <w:rPr>
                <w:rFonts w:ascii="Times New Roman" w:hAnsi="Times New Roman" w:eastAsia="宋体" w:cs="Times New Roman"/>
                <w:bCs/>
                <w:sz w:val="21"/>
                <w:szCs w:val="21"/>
              </w:rPr>
              <w:t>评价依据</w:t>
            </w:r>
          </w:p>
        </w:tc>
        <w:tc>
          <w:tcPr>
            <w:tcW w:w="4239" w:type="pct"/>
            <w:gridSpan w:val="13"/>
            <w:vAlign w:val="center"/>
          </w:tcPr>
          <w:p>
            <w:pPr>
              <w:widowControl/>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《土壤环境质量  建设用地土壤污染风险管控标准（试行）》（GB15618-2018）中建设用地土壤污染风险筛选值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pct"/>
            <w:gridSpan w:val="2"/>
            <w:vAlign w:val="center"/>
          </w:tcPr>
          <w:p>
            <w:pPr>
              <w:widowControl/>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检测结论</w:t>
            </w:r>
          </w:p>
        </w:tc>
        <w:tc>
          <w:tcPr>
            <w:tcW w:w="4239" w:type="pct"/>
            <w:gridSpan w:val="13"/>
            <w:vAlign w:val="center"/>
          </w:tcPr>
          <w:p>
            <w:pPr>
              <w:widowControl/>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本次检测，土壤检测点S1、S2、S3、S4处铜、镉、铅、砷、汞检测结果均满足《土壤环境质量</w:t>
            </w:r>
            <w:r>
              <w:rPr>
                <w:rFonts w:hint="eastAsia" w:ascii="Times New Roman" w:hAnsi="Times New Roman" w:eastAsia="宋体" w:cs="Times New Roman"/>
                <w:color w:val="000000"/>
                <w:kern w:val="0"/>
                <w:sz w:val="21"/>
                <w:szCs w:val="21"/>
                <w:lang w:val="en-US" w:eastAsia="zh-CN" w:bidi="ar"/>
              </w:rPr>
              <w:t xml:space="preserve"> </w:t>
            </w:r>
            <w:r>
              <w:rPr>
                <w:rFonts w:hint="eastAsia" w:ascii="Times New Roman" w:hAnsi="Times New Roman" w:eastAsia="宋体" w:cs="Times New Roman"/>
                <w:color w:val="000000"/>
                <w:kern w:val="0"/>
                <w:sz w:val="21"/>
                <w:szCs w:val="21"/>
                <w:lang w:bidi="ar"/>
              </w:rPr>
              <w:t>建设用地土壤污染风险管控标准（试行）》(GB 36600-2018）表1中第一类用地筛选值要求，pH值、锌、铬无相应评价标准值，不作评价。</w:t>
            </w:r>
            <w:r>
              <w:rPr>
                <w:rFonts w:ascii="Times New Roman" w:hAnsi="Times New Roman" w:eastAsia="宋体" w:cs="Times New Roman"/>
                <w:color w:val="000000"/>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pct"/>
            <w:gridSpan w:val="2"/>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color w:val="000000"/>
                <w:kern w:val="0"/>
                <w:sz w:val="21"/>
                <w:szCs w:val="21"/>
                <w:lang w:bidi="ar"/>
              </w:rPr>
              <w:t>备注</w:t>
            </w:r>
          </w:p>
        </w:tc>
        <w:tc>
          <w:tcPr>
            <w:tcW w:w="4239" w:type="pct"/>
            <w:gridSpan w:val="13"/>
            <w:vAlign w:val="center"/>
          </w:tcPr>
          <w:p>
            <w:pPr>
              <w:widowControl/>
              <w:ind w:left="-120" w:leftChars="-50" w:right="-120" w:rightChars="-50"/>
              <w:jc w:val="center"/>
              <w:textAlignment w:val="center"/>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w:t>
            </w:r>
          </w:p>
        </w:tc>
      </w:tr>
    </w:tbl>
    <w:p>
      <w:pPr>
        <w:adjustRightInd w:val="0"/>
        <w:snapToGrid w:val="0"/>
        <w:spacing w:line="400" w:lineRule="exact"/>
        <w:jc w:val="center"/>
        <w:rPr>
          <w:rFonts w:ascii="Times New Roman" w:hAnsi="Times New Roman" w:eastAsia="宋体" w:cs="Times New Roman"/>
          <w:b/>
          <w:color w:val="000000"/>
        </w:rPr>
      </w:pPr>
    </w:p>
    <w:p>
      <w:pPr>
        <w:adjustRightInd w:val="0"/>
        <w:snapToGrid w:val="0"/>
        <w:jc w:val="center"/>
        <w:rPr>
          <w:rFonts w:ascii="Times New Roman" w:hAnsi="Times New Roman" w:eastAsia="宋体" w:cs="Times New Roman"/>
          <w:b/>
          <w:color w:val="000000"/>
        </w:rPr>
      </w:pPr>
      <w:r>
        <w:rPr>
          <w:rFonts w:ascii="Times New Roman" w:hAnsi="Times New Roman" w:eastAsia="宋体" w:cs="Times New Roman"/>
          <w:b/>
          <w:color w:val="000000"/>
        </w:rPr>
        <w:br w:type="page"/>
      </w:r>
    </w:p>
    <w:p>
      <w:pPr>
        <w:pStyle w:val="3"/>
        <w:rPr>
          <w:rFonts w:cs="Times New Roman"/>
          <w:color w:val="000000"/>
        </w:rPr>
        <w:sectPr>
          <w:pgSz w:w="16838" w:h="11906" w:orient="landscape"/>
          <w:pgMar w:top="1134" w:right="1134" w:bottom="1134" w:left="1134" w:header="851" w:footer="510" w:gutter="0"/>
          <w:cols w:space="720" w:num="1"/>
          <w:docGrid w:type="lines" w:linePitch="326" w:charSpace="0"/>
        </w:sectPr>
      </w:pPr>
    </w:p>
    <w:p>
      <w:pPr>
        <w:pStyle w:val="3"/>
        <w:rPr>
          <w:rFonts w:cs="Times New Roman"/>
          <w:color w:val="000000"/>
        </w:rPr>
      </w:pPr>
      <w:bookmarkStart w:id="237" w:name="_Toc102039321"/>
      <w:r>
        <w:rPr>
          <w:rFonts w:cs="Times New Roman"/>
          <w:color w:val="000000"/>
        </w:rPr>
        <w:t>9.4 噪声</w:t>
      </w:r>
      <w:bookmarkEnd w:id="237"/>
    </w:p>
    <w:p>
      <w:pPr>
        <w:spacing w:line="360" w:lineRule="auto"/>
        <w:jc w:val="center"/>
        <w:rPr>
          <w:rFonts w:ascii="Times New Roman" w:hAnsi="Times New Roman" w:eastAsia="宋体" w:cs="Times New Roman"/>
          <w:b/>
          <w:bCs/>
          <w:color w:val="000000"/>
        </w:rPr>
      </w:pPr>
      <w:r>
        <w:rPr>
          <w:rFonts w:ascii="Times New Roman" w:hAnsi="Times New Roman" w:eastAsia="宋体" w:cs="Times New Roman"/>
          <w:b/>
          <w:bCs/>
          <w:color w:val="000000"/>
        </w:rPr>
        <w:t>表9.4-1  工业企业厂界环境噪声检测结果一览表</w:t>
      </w:r>
    </w:p>
    <w:tbl>
      <w:tblPr>
        <w:tblStyle w:val="4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3"/>
        <w:gridCol w:w="1179"/>
        <w:gridCol w:w="694"/>
        <w:gridCol w:w="694"/>
        <w:gridCol w:w="694"/>
        <w:gridCol w:w="696"/>
        <w:gridCol w:w="694"/>
        <w:gridCol w:w="694"/>
        <w:gridCol w:w="694"/>
        <w:gridCol w:w="699"/>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restart"/>
            <w:vAlign w:val="center"/>
          </w:tcPr>
          <w:p>
            <w:pPr>
              <w:spacing w:line="0" w:lineRule="atLeast"/>
              <w:jc w:val="center"/>
              <w:rPr>
                <w:rFonts w:ascii="Times New Roman" w:hAnsi="Times New Roman" w:eastAsia="宋体" w:cs="Times New Roman"/>
                <w:b/>
                <w:sz w:val="21"/>
                <w:szCs w:val="21"/>
              </w:rPr>
            </w:pPr>
            <w:bookmarkStart w:id="238" w:name="_Toc25636"/>
            <w:r>
              <w:rPr>
                <w:rFonts w:ascii="Times New Roman" w:hAnsi="Times New Roman" w:eastAsia="宋体" w:cs="Times New Roman"/>
                <w:b/>
                <w:sz w:val="21"/>
                <w:szCs w:val="21"/>
              </w:rPr>
              <w:t>检测</w:t>
            </w:r>
          </w:p>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日期</w:t>
            </w:r>
          </w:p>
        </w:tc>
        <w:tc>
          <w:tcPr>
            <w:tcW w:w="705" w:type="pct"/>
            <w:vMerge w:val="restar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检测点位</w:t>
            </w:r>
          </w:p>
        </w:tc>
        <w:tc>
          <w:tcPr>
            <w:tcW w:w="3324" w:type="pct"/>
            <w:gridSpan w:val="8"/>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 xml:space="preserve">检  测  结  果 </w:t>
            </w:r>
            <w:r>
              <w:rPr>
                <w:rFonts w:ascii="Times New Roman" w:hAnsi="Times New Roman" w:eastAsia="宋体" w:cs="Times New Roman"/>
              </w:rPr>
              <w:t xml:space="preserve">  </w:t>
            </w:r>
            <w:r>
              <w:rPr>
                <w:rFonts w:ascii="Times New Roman" w:hAnsi="Times New Roman" w:eastAsia="宋体" w:cs="Times New Roman"/>
                <w:b/>
                <w:sz w:val="21"/>
                <w:szCs w:val="21"/>
              </w:rPr>
              <w:t>Leq[dB (A)]</w:t>
            </w:r>
          </w:p>
        </w:tc>
        <w:tc>
          <w:tcPr>
            <w:tcW w:w="598" w:type="pct"/>
            <w:vMerge w:val="restart"/>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spacing w:line="0" w:lineRule="atLeast"/>
              <w:jc w:val="center"/>
              <w:rPr>
                <w:rFonts w:ascii="Times New Roman" w:hAnsi="Times New Roman" w:eastAsia="宋体" w:cs="Times New Roman"/>
                <w:sz w:val="21"/>
                <w:szCs w:val="21"/>
              </w:rPr>
            </w:pPr>
          </w:p>
        </w:tc>
        <w:tc>
          <w:tcPr>
            <w:tcW w:w="705" w:type="pct"/>
            <w:vMerge w:val="continue"/>
            <w:vAlign w:val="center"/>
          </w:tcPr>
          <w:p>
            <w:pPr>
              <w:spacing w:line="0" w:lineRule="atLeast"/>
              <w:jc w:val="center"/>
              <w:rPr>
                <w:rFonts w:ascii="Times New Roman" w:hAnsi="Times New Roman" w:eastAsia="宋体" w:cs="Times New Roman"/>
                <w:sz w:val="21"/>
                <w:szCs w:val="21"/>
              </w:rPr>
            </w:pPr>
          </w:p>
        </w:tc>
        <w:tc>
          <w:tcPr>
            <w:tcW w:w="1661" w:type="pct"/>
            <w:gridSpan w:val="4"/>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昼间</w:t>
            </w:r>
          </w:p>
        </w:tc>
        <w:tc>
          <w:tcPr>
            <w:tcW w:w="1663" w:type="pct"/>
            <w:gridSpan w:val="4"/>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夜间</w:t>
            </w:r>
          </w:p>
        </w:tc>
        <w:tc>
          <w:tcPr>
            <w:tcW w:w="598" w:type="pct"/>
            <w:vMerge w:val="continue"/>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spacing w:line="0" w:lineRule="atLeast"/>
              <w:jc w:val="center"/>
              <w:rPr>
                <w:rFonts w:ascii="Times New Roman" w:hAnsi="Times New Roman" w:eastAsia="宋体" w:cs="Times New Roman"/>
                <w:sz w:val="21"/>
                <w:szCs w:val="21"/>
              </w:rPr>
            </w:pPr>
          </w:p>
        </w:tc>
        <w:tc>
          <w:tcPr>
            <w:tcW w:w="705" w:type="pct"/>
            <w:vMerge w:val="continue"/>
            <w:vAlign w:val="center"/>
          </w:tcPr>
          <w:p>
            <w:pPr>
              <w:spacing w:line="0" w:lineRule="atLeast"/>
              <w:jc w:val="center"/>
              <w:rPr>
                <w:rFonts w:ascii="Times New Roman" w:hAnsi="Times New Roman" w:eastAsia="宋体" w:cs="Times New Roman"/>
                <w:sz w:val="21"/>
                <w:szCs w:val="21"/>
              </w:rPr>
            </w:pP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测量值</w:t>
            </w: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背景值</w:t>
            </w: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修正值</w:t>
            </w:r>
          </w:p>
        </w:tc>
        <w:tc>
          <w:tcPr>
            <w:tcW w:w="416"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结果</w:t>
            </w: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测量值</w:t>
            </w: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背景值</w:t>
            </w:r>
          </w:p>
        </w:tc>
        <w:tc>
          <w:tcPr>
            <w:tcW w:w="415"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修正值</w:t>
            </w:r>
          </w:p>
        </w:tc>
        <w:tc>
          <w:tcPr>
            <w:tcW w:w="418" w:type="pct"/>
            <w:vAlign w:val="center"/>
          </w:tcPr>
          <w:p>
            <w:pPr>
              <w:spacing w:line="0" w:lineRule="atLeast"/>
              <w:jc w:val="center"/>
              <w:rPr>
                <w:rFonts w:ascii="Times New Roman" w:hAnsi="Times New Roman" w:eastAsia="宋体" w:cs="Times New Roman"/>
                <w:b/>
                <w:sz w:val="21"/>
                <w:szCs w:val="21"/>
              </w:rPr>
            </w:pPr>
            <w:r>
              <w:rPr>
                <w:rFonts w:ascii="Times New Roman" w:hAnsi="Times New Roman" w:eastAsia="宋体" w:cs="Times New Roman"/>
                <w:b/>
                <w:sz w:val="21"/>
                <w:szCs w:val="21"/>
              </w:rPr>
              <w:t>结果</w:t>
            </w:r>
          </w:p>
        </w:tc>
        <w:tc>
          <w:tcPr>
            <w:tcW w:w="598" w:type="pct"/>
            <w:vMerge w:val="continue"/>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restart"/>
            <w:vAlign w:val="center"/>
          </w:tcPr>
          <w:p>
            <w:pPr>
              <w:adjustRightInd w:val="0"/>
              <w:snapToGrid w:val="0"/>
              <w:ind w:left="6" w:right="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2023.11.28</w:t>
            </w:r>
          </w:p>
        </w:tc>
        <w:tc>
          <w:tcPr>
            <w:tcW w:w="705"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西北侧厂界外1m处（C1）</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55.5</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42.4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56</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50.5</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45.3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西南侧厂界外1m处（C2）</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49.2</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44.3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48.8</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43.4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南侧厂界外1m处（C3）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46.2</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43.3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45.9</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42.3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东北侧厂界外1m处（C4）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53.5</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41.0</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49.8</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42.9</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restart"/>
            <w:vAlign w:val="center"/>
          </w:tcPr>
          <w:p>
            <w:pPr>
              <w:adjustRightInd w:val="0"/>
              <w:snapToGrid w:val="0"/>
              <w:ind w:left="6" w:right="6"/>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2023.11.29</w:t>
            </w:r>
          </w:p>
        </w:tc>
        <w:tc>
          <w:tcPr>
            <w:tcW w:w="705"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西北侧厂界外1m处（C1）</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54.9</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45.1</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49.6</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44.7</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西南侧厂界外1m处（C2）</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49.1</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43.1</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48.7</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42.0</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南侧厂界外1m处（C3）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47.7</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42.8</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46</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47.6</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41.3</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73" w:type="pct"/>
            <w:vMerge w:val="continue"/>
            <w:vAlign w:val="center"/>
          </w:tcPr>
          <w:p>
            <w:pPr>
              <w:adjustRightInd w:val="0"/>
              <w:snapToGrid w:val="0"/>
              <w:ind w:left="6" w:right="6"/>
              <w:jc w:val="center"/>
              <w:rPr>
                <w:rFonts w:ascii="Times New Roman" w:hAnsi="Times New Roman" w:eastAsia="宋体" w:cs="Times New Roman"/>
                <w:kern w:val="0"/>
                <w:sz w:val="21"/>
                <w:szCs w:val="21"/>
              </w:rPr>
            </w:pPr>
          </w:p>
        </w:tc>
        <w:tc>
          <w:tcPr>
            <w:tcW w:w="705" w:type="pct"/>
            <w:vAlign w:val="center"/>
          </w:tcPr>
          <w:p>
            <w:pPr>
              <w:adjustRightInd w:val="0"/>
              <w:snapToGrid w:val="0"/>
              <w:ind w:left="-48" w:leftChars="-20" w:right="-48" w:rightChars="-2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东北侧厂界外1m处（C4）</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52.9</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45.8</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16"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52</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49.0</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43.7</w:t>
            </w:r>
          </w:p>
        </w:tc>
        <w:tc>
          <w:tcPr>
            <w:tcW w:w="4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1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59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风机、猪叫声、虫鸣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078" w:type="pct"/>
            <w:gridSpan w:val="2"/>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评价标准值</w:t>
            </w:r>
          </w:p>
        </w:tc>
        <w:tc>
          <w:tcPr>
            <w:tcW w:w="3922" w:type="pct"/>
            <w:gridSpan w:val="9"/>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昼间≤60dB；夜间≤50dB。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078" w:type="pct"/>
            <w:gridSpan w:val="2"/>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评价依据</w:t>
            </w:r>
          </w:p>
        </w:tc>
        <w:tc>
          <w:tcPr>
            <w:tcW w:w="3922" w:type="pct"/>
            <w:gridSpan w:val="9"/>
            <w:vAlign w:val="center"/>
          </w:tcPr>
          <w:p>
            <w:pPr>
              <w:adjustRightInd w:val="0"/>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《工业企业厂界环境噪声排放标准》（GB 12348-2008）中</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078" w:type="pct"/>
            <w:gridSpan w:val="2"/>
            <w:vAlign w:val="center"/>
          </w:tcPr>
          <w:p>
            <w:pPr>
              <w:adjustRightInd w:val="0"/>
              <w:snapToGrid w:val="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检测结论</w:t>
            </w:r>
          </w:p>
        </w:tc>
        <w:tc>
          <w:tcPr>
            <w:tcW w:w="3922" w:type="pct"/>
            <w:gridSpan w:val="9"/>
            <w:vAlign w:val="center"/>
          </w:tcPr>
          <w:p>
            <w:pPr>
              <w:adjustRightInd w:val="0"/>
              <w:snapToGrid w:val="0"/>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本次检测，C1、C2、C3、C4点工业企业厂界环境噪声昼间、夜间检测结果均满足《工业企业厂界环境噪声排放标准》（GB 12348-2008）中</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1078" w:type="pct"/>
            <w:gridSpan w:val="2"/>
            <w:vAlign w:val="center"/>
          </w:tcPr>
          <w:p>
            <w:pPr>
              <w:jc w:val="center"/>
              <w:rPr>
                <w:rFonts w:ascii="Times New Roman" w:hAnsi="Times New Roman" w:eastAsia="宋体" w:cs="Times New Roman"/>
                <w:sz w:val="21"/>
                <w:szCs w:val="21"/>
              </w:rPr>
            </w:pPr>
            <w:r>
              <w:rPr>
                <w:rFonts w:ascii="Times New Roman" w:hAnsi="Times New Roman" w:eastAsia="宋体" w:cs="Times New Roman"/>
                <w:bCs/>
                <w:sz w:val="21"/>
                <w:szCs w:val="21"/>
              </w:rPr>
              <w:t>备注</w:t>
            </w:r>
          </w:p>
        </w:tc>
        <w:tc>
          <w:tcPr>
            <w:tcW w:w="3922" w:type="pct"/>
            <w:gridSpan w:val="9"/>
            <w:vAlign w:val="center"/>
          </w:tcPr>
          <w:p>
            <w:pPr>
              <w:ind w:left="120" w:leftChars="50" w:right="120" w:rightChars="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依据《环境噪声监测技术规范噪声测量值修正》（HJ 706-2014），噪声测量值与背景值相差小于3dB，不进行噪声修约，噪声测量值与被测声源排放限值的差值小于4dB，评价为达标；噪声测量值与背景噪声值的差值大于10dB时，噪声测量值不做修正。</w:t>
            </w:r>
          </w:p>
        </w:tc>
      </w:tr>
    </w:tbl>
    <w:p>
      <w:pPr>
        <w:spacing w:line="360" w:lineRule="auto"/>
        <w:ind w:firstLine="480" w:firstLineChars="200"/>
        <w:rPr>
          <w:rFonts w:ascii="Times New Roman" w:hAnsi="Times New Roman" w:cs="Times New Roman"/>
        </w:rPr>
        <w:sectPr>
          <w:pgSz w:w="11906" w:h="16838"/>
          <w:pgMar w:top="1440" w:right="1797" w:bottom="1440" w:left="1797" w:header="851" w:footer="510" w:gutter="0"/>
          <w:cols w:space="720" w:num="1"/>
          <w:docGrid w:type="lines" w:linePitch="326" w:charSpace="0"/>
        </w:sectPr>
      </w:pPr>
    </w:p>
    <w:bookmarkEnd w:id="238"/>
    <w:p>
      <w:pPr>
        <w:pStyle w:val="3"/>
        <w:rPr>
          <w:rFonts w:cs="Times New Roman"/>
          <w:color w:val="000000" w:themeColor="text1"/>
          <w:szCs w:val="36"/>
          <w14:textFill>
            <w14:solidFill>
              <w14:schemeClr w14:val="tx1"/>
            </w14:solidFill>
          </w14:textFill>
        </w:rPr>
      </w:pPr>
      <w:bookmarkStart w:id="239" w:name="_Toc5925"/>
      <w:bookmarkStart w:id="240" w:name="_Toc102039322"/>
      <w:r>
        <w:rPr>
          <w:rFonts w:cs="Times New Roman"/>
          <w:color w:val="000000" w:themeColor="text1"/>
          <w:szCs w:val="36"/>
          <w14:textFill>
            <w14:solidFill>
              <w14:schemeClr w14:val="tx1"/>
            </w14:solidFill>
          </w14:textFill>
        </w:rPr>
        <w:t xml:space="preserve">9.6 </w:t>
      </w:r>
      <w:r>
        <w:rPr>
          <w:rFonts w:cs="Times New Roman"/>
          <w:color w:val="000000"/>
        </w:rPr>
        <w:t>污染物</w:t>
      </w:r>
      <w:r>
        <w:rPr>
          <w:rFonts w:cs="Times New Roman"/>
          <w:color w:val="000000" w:themeColor="text1"/>
          <w:szCs w:val="36"/>
          <w14:textFill>
            <w14:solidFill>
              <w14:schemeClr w14:val="tx1"/>
            </w14:solidFill>
          </w14:textFill>
        </w:rPr>
        <w:t>排放总量核算</w:t>
      </w:r>
      <w:bookmarkEnd w:id="239"/>
      <w:bookmarkEnd w:id="240"/>
    </w:p>
    <w:p>
      <w:pPr>
        <w:spacing w:line="360" w:lineRule="auto"/>
        <w:ind w:firstLine="480" w:firstLineChars="200"/>
        <w:rPr>
          <w:rFonts w:ascii="Times New Roman" w:hAnsi="Times New Roman" w:cs="Times New Roman"/>
          <w:color w:val="000000" w:themeColor="text1"/>
          <w14:textFill>
            <w14:solidFill>
              <w14:schemeClr w14:val="tx1"/>
            </w14:solidFill>
          </w14:textFill>
        </w:rPr>
      </w:pPr>
      <w:bookmarkStart w:id="241" w:name="_Toc497926028"/>
      <w:bookmarkStart w:id="242" w:name="_Toc497987796"/>
      <w:bookmarkStart w:id="243" w:name="_Toc497987633"/>
      <w:r>
        <w:rPr>
          <w:rFonts w:hint="eastAsia" w:ascii="Times New Roman" w:hAnsi="Times New Roman" w:cs="Times New Roman"/>
          <w:bCs/>
          <w:color w:val="000000" w:themeColor="text1"/>
          <w14:textFill>
            <w14:solidFill>
              <w14:schemeClr w14:val="tx1"/>
            </w14:solidFill>
          </w14:textFill>
        </w:rPr>
        <w:t>验收</w:t>
      </w:r>
      <w:r>
        <w:rPr>
          <w:rFonts w:ascii="Times New Roman" w:hAnsi="Times New Roman" w:cs="Times New Roman"/>
          <w:bCs/>
          <w:color w:val="000000" w:themeColor="text1"/>
          <w14:textFill>
            <w14:solidFill>
              <w14:schemeClr w14:val="tx1"/>
            </w14:solidFill>
          </w14:textFill>
        </w:rPr>
        <w:t>项目</w:t>
      </w:r>
      <w:r>
        <w:rPr>
          <w:rFonts w:hint="eastAsia" w:ascii="Times New Roman" w:hAnsi="Times New Roman" w:cs="Times New Roman"/>
          <w:color w:val="000000" w:themeColor="text1"/>
          <w14:textFill>
            <w14:solidFill>
              <w14:schemeClr w14:val="tx1"/>
            </w14:solidFill>
          </w14:textFill>
        </w:rPr>
        <w:t>环评及批复无总量控制要求</w:t>
      </w:r>
      <w:r>
        <w:rPr>
          <w:rFonts w:ascii="Times New Roman" w:hAnsi="Times New Roman" w:cs="Times New Roman"/>
          <w:color w:val="000000" w:themeColor="text1"/>
          <w14:textFill>
            <w14:solidFill>
              <w14:schemeClr w14:val="tx1"/>
            </w14:solidFill>
          </w14:textFill>
        </w:rPr>
        <w:t>。</w:t>
      </w:r>
    </w:p>
    <w:p>
      <w:pPr>
        <w:pStyle w:val="3"/>
        <w:rPr>
          <w:rFonts w:cs="Times New Roman"/>
        </w:rPr>
      </w:pPr>
      <w:bookmarkStart w:id="244" w:name="_Toc102039323"/>
      <w:r>
        <w:rPr>
          <w:rFonts w:cs="Times New Roman"/>
        </w:rPr>
        <w:t>9.7环保设施处理效率监测结果</w:t>
      </w:r>
      <w:bookmarkEnd w:id="244"/>
    </w:p>
    <w:p>
      <w:pPr>
        <w:pStyle w:val="5"/>
        <w:rPr>
          <w:rFonts w:cs="Times New Roman"/>
        </w:rPr>
      </w:pPr>
      <w:r>
        <w:rPr>
          <w:rFonts w:cs="Times New Roman"/>
        </w:rPr>
        <w:t>9.7.1废水治理设施</w:t>
      </w:r>
    </w:p>
    <w:p>
      <w:pPr>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由于本项目</w:t>
      </w:r>
      <w:r>
        <w:rPr>
          <w:rFonts w:hint="eastAsia" w:ascii="Times New Roman" w:hAnsi="Times New Roman" w:cs="Times New Roman"/>
          <w:color w:val="000000" w:themeColor="text1"/>
          <w14:textFill>
            <w14:solidFill>
              <w14:schemeClr w14:val="tx1"/>
            </w14:solidFill>
          </w14:textFill>
        </w:rPr>
        <w:t>生活污水、生产废水</w:t>
      </w:r>
      <w:r>
        <w:rPr>
          <w:rFonts w:ascii="Times New Roman" w:hAnsi="Times New Roman" w:cs="Times New Roman"/>
          <w:color w:val="000000" w:themeColor="text1"/>
          <w14:textFill>
            <w14:solidFill>
              <w14:schemeClr w14:val="tx1"/>
            </w14:solidFill>
          </w14:textFill>
        </w:rPr>
        <w:t>环评</w:t>
      </w:r>
      <w:r>
        <w:rPr>
          <w:rFonts w:hint="eastAsia" w:ascii="Times New Roman" w:hAnsi="Times New Roman" w:cs="Times New Roman"/>
          <w:color w:val="000000" w:themeColor="text1"/>
          <w14:textFill>
            <w14:solidFill>
              <w14:schemeClr w14:val="tx1"/>
            </w14:solidFill>
          </w14:textFill>
        </w:rPr>
        <w:t>及</w:t>
      </w:r>
      <w:r>
        <w:rPr>
          <w:rFonts w:ascii="Times New Roman" w:hAnsi="Times New Roman" w:cs="Times New Roman"/>
          <w:color w:val="000000" w:themeColor="text1"/>
          <w14:textFill>
            <w14:solidFill>
              <w14:schemeClr w14:val="tx1"/>
            </w14:solidFill>
          </w14:textFill>
        </w:rPr>
        <w:t>批复未对处理效率做要求，本次验收不做评价。</w:t>
      </w:r>
    </w:p>
    <w:p>
      <w:pPr>
        <w:pStyle w:val="5"/>
        <w:rPr>
          <w:rFonts w:cs="Times New Roman"/>
        </w:rPr>
      </w:pPr>
      <w:r>
        <w:rPr>
          <w:rFonts w:cs="Times New Roman"/>
        </w:rPr>
        <w:t>9.7.2废气治理设施</w:t>
      </w:r>
    </w:p>
    <w:p>
      <w:pPr>
        <w:spacing w:line="360" w:lineRule="auto"/>
        <w:ind w:firstLine="480" w:firstLineChars="200"/>
        <w:rPr>
          <w:rFonts w:ascii="Times New Roman" w:hAnsi="Times New Roman" w:cs="Times New Roman"/>
        </w:rPr>
      </w:pPr>
      <w:r>
        <w:rPr>
          <w:rFonts w:hint="eastAsia" w:ascii="Times New Roman" w:hAnsi="Times New Roman" w:cs="Times New Roman"/>
        </w:rPr>
        <w:t>本项目仅无组织废气，</w:t>
      </w:r>
      <w:r>
        <w:rPr>
          <w:rFonts w:ascii="Times New Roman" w:hAnsi="Times New Roman" w:cs="Times New Roman"/>
          <w:color w:val="000000" w:themeColor="text1"/>
          <w14:textFill>
            <w14:solidFill>
              <w14:schemeClr w14:val="tx1"/>
            </w14:solidFill>
          </w14:textFill>
        </w:rPr>
        <w:t>本次验收不做评价</w:t>
      </w:r>
      <w:r>
        <w:rPr>
          <w:rFonts w:ascii="Times New Roman" w:hAnsi="Times New Roman" w:cs="Times New Roman"/>
        </w:rPr>
        <w:t>。</w:t>
      </w:r>
    </w:p>
    <w:p>
      <w:pPr>
        <w:pStyle w:val="5"/>
        <w:rPr>
          <w:rFonts w:cs="Times New Roman"/>
          <w:sz w:val="21"/>
          <w:szCs w:val="21"/>
        </w:rPr>
      </w:pPr>
      <w:r>
        <w:rPr>
          <w:rFonts w:cs="Times New Roman"/>
        </w:rPr>
        <w:t>9.7.3噪声治理设施</w:t>
      </w:r>
    </w:p>
    <w:p>
      <w:pPr>
        <w:spacing w:line="360" w:lineRule="auto"/>
        <w:ind w:firstLine="480" w:firstLineChars="200"/>
        <w:rPr>
          <w:rFonts w:ascii="Times New Roman" w:hAnsi="Times New Roman" w:cs="Times New Roman"/>
        </w:rPr>
      </w:pPr>
      <w:r>
        <w:rPr>
          <w:rFonts w:ascii="Times New Roman" w:hAnsi="Times New Roman" w:cs="Times New Roman"/>
        </w:rPr>
        <w:t>根据监测结果可知，厂界噪声达标排放，项目降噪措施满足要求。</w:t>
      </w:r>
    </w:p>
    <w:p>
      <w:pPr>
        <w:pStyle w:val="2"/>
        <w:rPr>
          <w:rFonts w:cs="Times New Roman"/>
        </w:rPr>
      </w:pPr>
      <w:bookmarkStart w:id="245" w:name="_Toc497988077"/>
      <w:r>
        <w:rPr>
          <w:rFonts w:cs="Times New Roman"/>
        </w:rPr>
        <w:br w:type="page"/>
      </w:r>
      <w:bookmarkStart w:id="246" w:name="_Toc102039324"/>
      <w:bookmarkStart w:id="247" w:name="_Toc24054"/>
      <w:bookmarkStart w:id="248" w:name="_Toc13833"/>
      <w:r>
        <w:rPr>
          <w:rFonts w:cs="Times New Roman"/>
        </w:rPr>
        <w:t>10 验收监测结论</w:t>
      </w:r>
      <w:bookmarkEnd w:id="241"/>
      <w:bookmarkEnd w:id="242"/>
      <w:bookmarkEnd w:id="243"/>
      <w:bookmarkEnd w:id="245"/>
      <w:bookmarkEnd w:id="246"/>
      <w:bookmarkEnd w:id="247"/>
      <w:bookmarkEnd w:id="248"/>
    </w:p>
    <w:p>
      <w:pPr>
        <w:pStyle w:val="3"/>
        <w:rPr>
          <w:rFonts w:cs="Times New Roman"/>
        </w:rPr>
      </w:pPr>
      <w:bookmarkStart w:id="249" w:name="_Toc9218"/>
      <w:bookmarkStart w:id="250" w:name="_Toc16264"/>
      <w:bookmarkStart w:id="251" w:name="_Toc102039325"/>
      <w:r>
        <w:rPr>
          <w:rFonts w:cs="Times New Roman"/>
        </w:rPr>
        <w:t>10.1</w:t>
      </w:r>
      <w:bookmarkEnd w:id="249"/>
      <w:bookmarkEnd w:id="250"/>
      <w:r>
        <w:rPr>
          <w:rFonts w:cs="Times New Roman"/>
        </w:rPr>
        <w:t>环保设施处理效率监测结果</w:t>
      </w:r>
      <w:bookmarkEnd w:id="251"/>
      <w:bookmarkStart w:id="252" w:name="_Toc615"/>
    </w:p>
    <w:p>
      <w:pPr>
        <w:spacing w:line="360" w:lineRule="auto"/>
        <w:ind w:firstLine="480" w:firstLineChars="200"/>
        <w:rPr>
          <w:rFonts w:ascii="Times New Roman" w:hAnsi="Times New Roman" w:cs="Times New Roman"/>
        </w:rPr>
      </w:pPr>
      <w:r>
        <w:rPr>
          <w:rFonts w:hint="eastAsia" w:ascii="Times New Roman" w:hAnsi="Times New Roman" w:eastAsia="宋体" w:cs="Times New Roman"/>
        </w:rPr>
        <w:t>本项目</w:t>
      </w:r>
      <w:r>
        <w:rPr>
          <w:rFonts w:ascii="Times New Roman" w:hAnsi="Times New Roman" w:cs="Times New Roman"/>
        </w:rPr>
        <w:t>噪声经基础减震、厂房隔音后厂界噪声达标排放。</w:t>
      </w:r>
    </w:p>
    <w:p>
      <w:pPr>
        <w:pStyle w:val="3"/>
        <w:rPr>
          <w:rFonts w:cs="Times New Roman"/>
        </w:rPr>
      </w:pPr>
      <w:bookmarkStart w:id="253" w:name="_Toc102039326"/>
      <w:r>
        <w:rPr>
          <w:rFonts w:cs="Times New Roman"/>
        </w:rPr>
        <w:t>10.2污染物达标排放情况</w:t>
      </w:r>
      <w:bookmarkEnd w:id="252"/>
      <w:bookmarkEnd w:id="253"/>
    </w:p>
    <w:p>
      <w:pPr>
        <w:spacing w:line="360" w:lineRule="auto"/>
        <w:ind w:firstLine="480" w:firstLineChars="200"/>
        <w:rPr>
          <w:rFonts w:ascii="Times New Roman" w:hAnsi="Times New Roman" w:cs="Times New Roman"/>
        </w:rPr>
      </w:pPr>
      <w:r>
        <w:rPr>
          <w:rFonts w:ascii="Times New Roman" w:hAnsi="Times New Roman" w:cs="Times New Roman"/>
        </w:rPr>
        <w:t>（1）废水</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运营期污废水主要为猪尿、猪舍冲洗废水及职工生活污水，拟建项目粪污日产日清，采用干清粪工艺，干清粪比例达70%，拟建项目食堂废水经隔油池处理后与其他生活污水、养殖废水经污水处理站处理后沼液用于还田，不外排。</w:t>
      </w:r>
    </w:p>
    <w:p>
      <w:pPr>
        <w:spacing w:line="360" w:lineRule="auto"/>
        <w:ind w:left="480"/>
        <w:rPr>
          <w:rFonts w:ascii="Times New Roman" w:hAnsi="Times New Roman" w:cs="Times New Roman"/>
        </w:rPr>
      </w:pPr>
      <w:r>
        <w:rPr>
          <w:rFonts w:ascii="Times New Roman" w:hAnsi="Times New Roman" w:cs="Times New Roman"/>
        </w:rPr>
        <w:t>（2）废气</w:t>
      </w:r>
    </w:p>
    <w:p>
      <w:pPr>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验收监测期间，废气无组织检测点B1、B2处氨、硫化氢、臭气浓度检测结果均满足《恶臭污染物排放标准》(GB/T 14554-1993)表1中二级新扩改建标准要求。环境保护目标检测点B3处氨、硫化氢检测结果均满足《环境影响评价技术导则 大气环境》（HJ 2.2-2018）附录D表D.1其他污染物空气质量浓度参考要求。</w:t>
      </w:r>
    </w:p>
    <w:p>
      <w:pPr>
        <w:spacing w:line="360" w:lineRule="auto"/>
        <w:ind w:firstLine="480" w:firstLineChars="200"/>
        <w:rPr>
          <w:rFonts w:ascii="Times New Roman" w:hAnsi="Times New Roman" w:cs="Times New Roman"/>
        </w:rPr>
      </w:pPr>
      <w:r>
        <w:rPr>
          <w:rFonts w:ascii="Times New Roman" w:hAnsi="Times New Roman" w:cs="Times New Roman"/>
        </w:rPr>
        <w:t>（3）厂界噪声</w:t>
      </w:r>
    </w:p>
    <w:p>
      <w:pPr>
        <w:spacing w:line="360" w:lineRule="auto"/>
        <w:ind w:firstLine="480" w:firstLineChars="200"/>
        <w:rPr>
          <w:rFonts w:ascii="Times New Roman" w:hAnsi="Times New Roman" w:cs="Times New Roman"/>
        </w:rPr>
      </w:pPr>
      <w:r>
        <w:rPr>
          <w:rFonts w:hint="eastAsia" w:ascii="Times New Roman" w:hAnsi="Times New Roman" w:cs="Times New Roman"/>
        </w:rPr>
        <w:t>验收监测期间，C1、C2、C3、C4点工业企业厂界环境噪声昼间、夜间检测结果均满足《工业企业厂界环境噪声排放标准》（GB 12348-2008）中</w:t>
      </w:r>
      <w:r>
        <w:rPr>
          <w:rFonts w:ascii="Times New Roman" w:hAnsi="Times New Roman" w:cs="Times New Roman"/>
        </w:rPr>
        <w:t>2</w:t>
      </w:r>
      <w:r>
        <w:rPr>
          <w:rFonts w:hint="eastAsia" w:ascii="Times New Roman" w:hAnsi="Times New Roman" w:cs="Times New Roman"/>
        </w:rPr>
        <w:t>类标准要求。</w:t>
      </w:r>
    </w:p>
    <w:p>
      <w:pPr>
        <w:spacing w:line="360" w:lineRule="auto"/>
        <w:ind w:left="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地下水</w:t>
      </w:r>
    </w:p>
    <w:p>
      <w:pPr>
        <w:spacing w:line="360" w:lineRule="auto"/>
        <w:ind w:firstLine="480" w:firstLineChars="200"/>
        <w:rPr>
          <w:rFonts w:ascii="Times New Roman" w:hAnsi="Times New Roman" w:cs="Times New Roman"/>
        </w:rPr>
      </w:pPr>
      <w:r>
        <w:rPr>
          <w:rFonts w:hint="eastAsia" w:ascii="Times New Roman" w:hAnsi="Times New Roman" w:cs="Times New Roman"/>
        </w:rPr>
        <w:t>验收监测期间，地下水检测点FX1、FX2、FX3处pH、溶解性总固体、硫酸盐、氯化物、亚硝酸盐（以N计）、硝酸盐（以N计）、高锰酸盐指数（以O</w:t>
      </w:r>
      <w:r>
        <w:rPr>
          <w:rFonts w:hint="eastAsia" w:ascii="Times New Roman" w:hAnsi="Times New Roman" w:cs="Times New Roman"/>
          <w:vertAlign w:val="subscript"/>
        </w:rPr>
        <w:t>2</w:t>
      </w:r>
      <w:r>
        <w:rPr>
          <w:rFonts w:hint="eastAsia" w:ascii="Times New Roman" w:hAnsi="Times New Roman" w:cs="Times New Roman"/>
        </w:rPr>
        <w:t>计）、氨氮（以N计）、总大肠菌群、总硬度（以CaCO</w:t>
      </w:r>
      <w:r>
        <w:rPr>
          <w:rFonts w:hint="eastAsia" w:ascii="Times New Roman" w:hAnsi="Times New Roman" w:cs="Times New Roman"/>
          <w:vertAlign w:val="subscript"/>
        </w:rPr>
        <w:t>3</w:t>
      </w:r>
      <w:r>
        <w:rPr>
          <w:rFonts w:hint="eastAsia" w:ascii="Times New Roman" w:hAnsi="Times New Roman" w:cs="Times New Roman"/>
        </w:rPr>
        <w:t>计）、铬（六价）、镉、铁、锰、锌、铜、硒、臭和味检测结果均满足《地下水质量标准》（GB/T 14848-2017）表1中Ⅲ类标准要求。</w:t>
      </w:r>
    </w:p>
    <w:p>
      <w:pPr>
        <w:spacing w:line="360" w:lineRule="auto"/>
        <w:ind w:left="480"/>
        <w:rPr>
          <w:rFonts w:ascii="Times New Roman" w:hAnsi="Times New Roman" w:cs="Times New Roman"/>
        </w:rPr>
      </w:pPr>
    </w:p>
    <w:p>
      <w:pPr>
        <w:spacing w:line="360" w:lineRule="auto"/>
        <w:ind w:left="480"/>
        <w:rPr>
          <w:rFonts w:ascii="Times New Roman" w:hAnsi="Times New Roman" w:cs="Times New Roman"/>
        </w:rPr>
      </w:pPr>
      <w:r>
        <w:rPr>
          <w:rFonts w:hint="eastAsia" w:ascii="Times New Roman" w:hAnsi="Times New Roman" w:cs="Times New Roman"/>
        </w:rPr>
        <w:t>（5）土壤</w:t>
      </w:r>
    </w:p>
    <w:p>
      <w:pPr>
        <w:spacing w:line="360" w:lineRule="auto"/>
        <w:ind w:firstLine="480" w:firstLineChars="200"/>
        <w:rPr>
          <w:rFonts w:ascii="Times New Roman" w:hAnsi="Times New Roman" w:cs="Times New Roman"/>
        </w:rPr>
      </w:pPr>
      <w:bookmarkStart w:id="271" w:name="_GoBack"/>
      <w:r>
        <w:rPr>
          <w:rFonts w:hint="eastAsia" w:ascii="Times New Roman" w:hAnsi="Times New Roman" w:cs="Times New Roman"/>
        </w:rPr>
        <w:t>验收监测期间，土壤检测点S1、S2、S3、S4处铜、镉、铅、砷、汞检测结果均满足《土壤环境质量  建设用地土壤污染风险管控标准（试行）》（GB15618-2018）中建设用地土壤污染风险筛选值要求。</w:t>
      </w:r>
    </w:p>
    <w:bookmarkEnd w:id="271"/>
    <w:p>
      <w:pPr>
        <w:pStyle w:val="3"/>
        <w:rPr>
          <w:rFonts w:cs="Times New Roman"/>
        </w:rPr>
      </w:pPr>
      <w:bookmarkStart w:id="254" w:name="_Toc102039327"/>
      <w:r>
        <w:rPr>
          <w:rFonts w:cs="Times New Roman"/>
        </w:rPr>
        <w:t>10.3综合结论</w:t>
      </w:r>
      <w:bookmarkEnd w:id="254"/>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本项目营运期间认真落实环评提出的相关环保措施，对本项目产生的废水、废气、噪声和固废，采取了有效的治理和处置措施，因此，在有效地保护项目区环境的前提下，项目建设对环境影响是可以接受的。</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通过调查和现场监测，本项目满足以下条件：</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（1）项目不存在重大的环境影响问题；</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（2）环评及批复所提环保措施基本得到了落实；</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（3）有关环保设施已建成并投入正常使用；</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（4）工程本身符合设计、施工和使用要求。</w:t>
      </w:r>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因此，从环境保护的角度分析，本项目采取相应的环保措施后，满足环保设施竣工环境保护验收要求。</w:t>
      </w:r>
    </w:p>
    <w:p>
      <w:pPr>
        <w:pStyle w:val="3"/>
        <w:rPr>
          <w:rFonts w:cs="Times New Roman"/>
        </w:rPr>
      </w:pPr>
      <w:bookmarkStart w:id="255" w:name="_Toc102039328"/>
      <w:r>
        <w:rPr>
          <w:rFonts w:cs="Times New Roman"/>
        </w:rPr>
        <w:t>10.4建议</w:t>
      </w:r>
      <w:bookmarkEnd w:id="255"/>
    </w:p>
    <w:p>
      <w:pPr>
        <w:widowControl/>
        <w:spacing w:line="360" w:lineRule="auto"/>
        <w:ind w:firstLine="480" w:firstLineChars="200"/>
        <w:rPr>
          <w:rFonts w:ascii="Times New Roman" w:hAnsi="Times New Roman" w:eastAsia="宋体" w:cs="Times New Roman"/>
          <w:kern w:val="0"/>
          <w:szCs w:val="21"/>
        </w:rPr>
      </w:pPr>
      <w:r>
        <w:rPr>
          <w:rFonts w:ascii="Times New Roman" w:hAnsi="Times New Roman" w:eastAsia="宋体" w:cs="Times New Roman"/>
          <w:kern w:val="0"/>
          <w:szCs w:val="21"/>
        </w:rPr>
        <w:t>1、企业应加强对各类环保设施的日常管理和维护，加强对企业员工的操作培训，建立环保巡查制度，保证环保设施的正常运行，并完善环保设施运行、维护记录，确保各项污染物长期稳定达标排放。</w:t>
      </w:r>
    </w:p>
    <w:p>
      <w:pPr>
        <w:widowControl/>
        <w:spacing w:line="360" w:lineRule="auto"/>
        <w:ind w:firstLine="480" w:firstLineChars="200"/>
        <w:rPr>
          <w:rFonts w:ascii="Times New Roman" w:hAnsi="Times New Roman" w:eastAsia="宋体" w:cs="Times New Roman"/>
          <w:kern w:val="0"/>
          <w:szCs w:val="21"/>
        </w:rPr>
      </w:pPr>
      <w:bookmarkStart w:id="256" w:name="_Toc17779"/>
      <w:bookmarkStart w:id="257" w:name="_Toc5559"/>
      <w:r>
        <w:rPr>
          <w:rFonts w:ascii="Times New Roman" w:hAnsi="Times New Roman" w:eastAsia="宋体" w:cs="Times New Roman"/>
          <w:kern w:val="0"/>
          <w:szCs w:val="21"/>
        </w:rPr>
        <w:t>2、严格环保管理</w:t>
      </w:r>
      <w:bookmarkEnd w:id="256"/>
      <w:bookmarkEnd w:id="257"/>
      <w:r>
        <w:rPr>
          <w:rFonts w:ascii="Times New Roman" w:hAnsi="Times New Roman" w:eastAsia="宋体" w:cs="Times New Roman"/>
          <w:kern w:val="0"/>
          <w:szCs w:val="21"/>
        </w:rPr>
        <w:t>。</w:t>
      </w:r>
    </w:p>
    <w:p>
      <w:pPr>
        <w:rPr>
          <w:rFonts w:ascii="Times New Roman" w:hAnsi="Times New Roman" w:cs="Times New Roman"/>
        </w:rPr>
      </w:pPr>
    </w:p>
    <w:p>
      <w:pPr>
        <w:spacing w:line="360" w:lineRule="auto"/>
        <w:rPr>
          <w:rFonts w:ascii="Times New Roman" w:hAnsi="Times New Roman" w:cs="Times New Roman"/>
          <w:szCs w:val="21"/>
        </w:rPr>
      </w:pPr>
    </w:p>
    <w:p>
      <w:pPr>
        <w:pStyle w:val="2"/>
        <w:rPr>
          <w:rFonts w:cs="Times New Roman"/>
        </w:rPr>
      </w:pPr>
      <w:bookmarkStart w:id="258" w:name="_Toc497988078"/>
      <w:bookmarkStart w:id="259" w:name="_Toc497926029"/>
      <w:bookmarkStart w:id="260" w:name="_Toc497987634"/>
      <w:bookmarkStart w:id="261" w:name="_Toc497987797"/>
      <w:r>
        <w:rPr>
          <w:rFonts w:cs="Times New Roman"/>
        </w:rPr>
        <w:br w:type="page"/>
      </w:r>
      <w:bookmarkStart w:id="262" w:name="_Toc19635"/>
      <w:bookmarkStart w:id="263" w:name="_Toc102039329"/>
      <w:bookmarkStart w:id="264" w:name="_Toc17394"/>
      <w:r>
        <w:rPr>
          <w:rFonts w:cs="Times New Roman"/>
        </w:rPr>
        <w:t>11 建设项目环境保护“三同时”竣工验收登记表</w:t>
      </w:r>
      <w:bookmarkEnd w:id="258"/>
      <w:bookmarkEnd w:id="259"/>
      <w:bookmarkEnd w:id="260"/>
      <w:bookmarkEnd w:id="261"/>
      <w:bookmarkEnd w:id="262"/>
      <w:bookmarkEnd w:id="263"/>
      <w:bookmarkEnd w:id="264"/>
    </w:p>
    <w:p>
      <w:pPr>
        <w:ind w:firstLine="480" w:firstLineChars="200"/>
        <w:rPr>
          <w:rFonts w:ascii="Times New Roman" w:hAnsi="Times New Roman" w:cs="Times New Roman"/>
        </w:rPr>
      </w:pPr>
      <w:r>
        <w:rPr>
          <w:rFonts w:ascii="Times New Roman" w:hAnsi="Times New Roman" w:cs="Times New Roman"/>
        </w:rPr>
        <w:t>见下表</w:t>
      </w:r>
    </w:p>
    <w:p>
      <w:pPr>
        <w:spacing w:line="500" w:lineRule="exact"/>
        <w:rPr>
          <w:rFonts w:ascii="Times New Roman" w:hAnsi="Times New Roman" w:cs="Times New Roman"/>
          <w:sz w:val="28"/>
          <w:szCs w:val="28"/>
        </w:rPr>
        <w:sectPr>
          <w:pgSz w:w="11906" w:h="16838"/>
          <w:pgMar w:top="1440" w:right="1797" w:bottom="1440" w:left="1797" w:header="851" w:footer="510" w:gutter="0"/>
          <w:cols w:space="720" w:num="1"/>
          <w:docGrid w:type="lines" w:linePitch="312" w:charSpace="0"/>
        </w:sectPr>
      </w:pPr>
    </w:p>
    <w:p>
      <w:pPr>
        <w:jc w:val="center"/>
        <w:rPr>
          <w:rFonts w:ascii="Times New Roman" w:hAnsi="Times New Roman" w:cs="Times New Roman"/>
          <w:b/>
        </w:rPr>
        <w:sectPr>
          <w:headerReference r:id="rId5" w:type="default"/>
          <w:pgSz w:w="16838" w:h="11906" w:orient="landscape"/>
          <w:pgMar w:top="680" w:right="794" w:bottom="680" w:left="794" w:header="227" w:footer="340" w:gutter="0"/>
          <w:cols w:space="720" w:num="1"/>
          <w:docGrid w:linePitch="312" w:charSpace="0"/>
        </w:sectPr>
      </w:pPr>
    </w:p>
    <w:p>
      <w:pPr>
        <w:spacing w:line="300" w:lineRule="exact"/>
        <w:jc w:val="center"/>
        <w:rPr>
          <w:rFonts w:ascii="Times New Roman" w:hAnsi="Times New Roman" w:eastAsia="黑体" w:cs="Times New Roman"/>
          <w:b/>
          <w:sz w:val="21"/>
          <w:szCs w:val="21"/>
        </w:rPr>
      </w:pPr>
      <w:r>
        <w:rPr>
          <w:rFonts w:ascii="Times New Roman" w:hAnsi="Times New Roman" w:eastAsia="黑体" w:cs="Times New Roman"/>
          <w:b/>
          <w:sz w:val="21"/>
          <w:szCs w:val="21"/>
        </w:rPr>
        <w:t>建设项目竣工环境保护“三同时”验收登记表</w:t>
      </w:r>
    </w:p>
    <w:p>
      <w:pPr>
        <w:spacing w:line="300" w:lineRule="exact"/>
        <w:jc w:val="center"/>
        <w:rPr>
          <w:rFonts w:ascii="Times New Roman" w:hAnsi="Times New Roman" w:eastAsia="黑体" w:cs="Times New Roman"/>
          <w:b/>
          <w:sz w:val="21"/>
          <w:szCs w:val="21"/>
        </w:rPr>
      </w:pPr>
    </w:p>
    <w:p>
      <w:pPr>
        <w:rPr>
          <w:rFonts w:ascii="Times New Roman" w:hAnsi="Times New Roman" w:eastAsia="宋体" w:cs="Times New Roman"/>
          <w:b/>
          <w:sz w:val="21"/>
          <w:szCs w:val="21"/>
        </w:rPr>
      </w:pPr>
      <w:r>
        <w:rPr>
          <w:rFonts w:ascii="Times New Roman" w:hAnsi="Times New Roman" w:eastAsia="宋体" w:cs="Times New Roman"/>
          <w:b/>
          <w:sz w:val="21"/>
          <w:szCs w:val="21"/>
        </w:rPr>
        <w:t>填表单位（盖章）：</w:t>
      </w:r>
      <w:r>
        <w:rPr>
          <w:rFonts w:hint="eastAsia" w:ascii="Times New Roman" w:hAnsi="Times New Roman" w:eastAsia="宋体" w:cs="Times New Roman"/>
          <w:b/>
          <w:sz w:val="21"/>
          <w:szCs w:val="21"/>
        </w:rPr>
        <w:t>合川区尹发家庭农场</w:t>
      </w:r>
      <w:r>
        <w:rPr>
          <w:rFonts w:ascii="Times New Roman" w:hAnsi="Times New Roman" w:eastAsia="宋体" w:cs="Times New Roman"/>
          <w:b/>
          <w:sz w:val="21"/>
          <w:szCs w:val="21"/>
        </w:rPr>
        <w:t xml:space="preserve">     填表人（签字）：                              项目经办人（签字）：</w:t>
      </w:r>
    </w:p>
    <w:tbl>
      <w:tblPr>
        <w:tblStyle w:val="47"/>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68"/>
        <w:gridCol w:w="785"/>
        <w:gridCol w:w="1011"/>
        <w:gridCol w:w="828"/>
        <w:gridCol w:w="1379"/>
        <w:gridCol w:w="1097"/>
        <w:gridCol w:w="987"/>
        <w:gridCol w:w="7"/>
        <w:gridCol w:w="993"/>
        <w:gridCol w:w="1243"/>
        <w:gridCol w:w="1025"/>
        <w:gridCol w:w="1934"/>
        <w:gridCol w:w="850"/>
        <w:gridCol w:w="690"/>
        <w:gridCol w:w="554"/>
        <w:gridCol w:w="508"/>
        <w:gridCol w:w="594"/>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restart"/>
            <w:tcMar>
              <w:left w:w="57" w:type="dxa"/>
              <w:right w:w="57" w:type="dxa"/>
            </w:tcMar>
            <w:textDirection w:val="tbRlV"/>
            <w:vAlign w:val="center"/>
          </w:tcPr>
          <w:p>
            <w:pPr>
              <w:ind w:left="113" w:right="113"/>
              <w:jc w:val="center"/>
              <w:rPr>
                <w:rFonts w:ascii="Times New Roman" w:hAnsi="Times New Roman" w:cs="Times New Roman"/>
                <w:b/>
                <w:sz w:val="15"/>
                <w:szCs w:val="15"/>
              </w:rPr>
            </w:pPr>
            <w:r>
              <w:rPr>
                <w:rFonts w:ascii="Times New Roman" w:hAnsi="Times New Roman" w:cs="Times New Roman"/>
                <w:b/>
                <w:sz w:val="15"/>
                <w:szCs w:val="15"/>
              </w:rPr>
              <w:t>建设项目</w:t>
            </w:r>
          </w:p>
        </w:tc>
        <w:tc>
          <w:tcPr>
            <w:tcW w:w="1964" w:type="dxa"/>
            <w:gridSpan w:val="3"/>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项目名称</w:t>
            </w:r>
          </w:p>
        </w:tc>
        <w:tc>
          <w:tcPr>
            <w:tcW w:w="5291" w:type="dxa"/>
            <w:gridSpan w:val="6"/>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合川区尹发家庭农场巴渝土杂猪养殖项目</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项目代码</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无</w:t>
            </w:r>
          </w:p>
        </w:tc>
        <w:tc>
          <w:tcPr>
            <w:tcW w:w="1540"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建设地点</w:t>
            </w:r>
          </w:p>
        </w:tc>
        <w:tc>
          <w:tcPr>
            <w:tcW w:w="2450" w:type="dxa"/>
            <w:gridSpan w:val="4"/>
            <w:tcMar>
              <w:left w:w="57" w:type="dxa"/>
              <w:right w:w="57" w:type="dxa"/>
            </w:tcMar>
            <w:vAlign w:val="center"/>
          </w:tcPr>
          <w:p>
            <w:pPr>
              <w:jc w:val="center"/>
              <w:rPr>
                <w:rFonts w:ascii="Times New Roman" w:hAnsi="Times New Roman" w:cs="Times New Roman"/>
                <w:sz w:val="15"/>
                <w:szCs w:val="15"/>
              </w:rPr>
            </w:pPr>
            <w:r>
              <w:rPr>
                <w:rFonts w:hint="eastAsia" w:ascii="Times New Roman" w:hAnsi="Times New Roman" w:cs="Times New Roman"/>
                <w:sz w:val="15"/>
                <w:szCs w:val="15"/>
              </w:rPr>
              <w:t>重庆市合川区钱塘镇凤寺村5社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行业类别（分类管理名录）</w:t>
            </w:r>
          </w:p>
        </w:tc>
        <w:tc>
          <w:tcPr>
            <w:tcW w:w="5291" w:type="dxa"/>
            <w:gridSpan w:val="6"/>
            <w:tcMar>
              <w:left w:w="57" w:type="dxa"/>
              <w:right w:w="57" w:type="dxa"/>
            </w:tcMar>
            <w:vAlign w:val="center"/>
          </w:tcPr>
          <w:p>
            <w:pPr>
              <w:jc w:val="center"/>
              <w:rPr>
                <w:rFonts w:ascii="Times New Roman" w:hAnsi="Times New Roman" w:cs="Times New Roman"/>
                <w:sz w:val="15"/>
                <w:szCs w:val="15"/>
              </w:rPr>
            </w:pPr>
            <w:r>
              <w:rPr>
                <w:rFonts w:hint="eastAsia" w:ascii="Times New Roman" w:hAnsi="Times New Roman" w:cs="Times New Roman"/>
                <w:sz w:val="15"/>
                <w:szCs w:val="15"/>
              </w:rPr>
              <w:t>牲畜饲养031；家禽饲养032；其他畜牧业039</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建设性质</w:t>
            </w:r>
          </w:p>
        </w:tc>
        <w:tc>
          <w:tcPr>
            <w:tcW w:w="347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sym w:font="Wingdings 2" w:char="0052"/>
            </w:r>
            <w:r>
              <w:rPr>
                <w:rFonts w:ascii="Times New Roman" w:hAnsi="Times New Roman" w:cs="Times New Roman"/>
                <w:b/>
                <w:sz w:val="15"/>
                <w:szCs w:val="15"/>
              </w:rPr>
              <w:t>新建  □改扩建  □技术改造</w:t>
            </w:r>
          </w:p>
        </w:tc>
        <w:tc>
          <w:tcPr>
            <w:tcW w:w="1062"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项目厂区中心经度/纬度</w:t>
            </w:r>
          </w:p>
        </w:tc>
        <w:tc>
          <w:tcPr>
            <w:tcW w:w="1388"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106°17'57.1875"</w:t>
            </w:r>
          </w:p>
          <w:p>
            <w:pPr>
              <w:jc w:val="center"/>
              <w:rPr>
                <w:rFonts w:ascii="Times New Roman" w:hAnsi="Times New Roman" w:cs="Times New Roman"/>
                <w:sz w:val="15"/>
                <w:szCs w:val="15"/>
              </w:rPr>
            </w:pPr>
            <w:r>
              <w:rPr>
                <w:rFonts w:ascii="Times New Roman" w:hAnsi="Times New Roman" w:cs="Times New Roman"/>
                <w:sz w:val="15"/>
                <w:szCs w:val="15"/>
              </w:rPr>
              <w:t>30°12'49.9229"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设计生产能力</w:t>
            </w:r>
          </w:p>
        </w:tc>
        <w:tc>
          <w:tcPr>
            <w:tcW w:w="5291" w:type="dxa"/>
            <w:gridSpan w:val="6"/>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color w:val="000000" w:themeColor="text1"/>
                <w:sz w:val="15"/>
                <w:szCs w:val="15"/>
                <w14:textFill>
                  <w14:solidFill>
                    <w14:schemeClr w14:val="tx1"/>
                  </w14:solidFill>
                </w14:textFill>
              </w:rPr>
              <w:t>年存栏母猪860头，年出栏生猪12000头</w:t>
            </w:r>
          </w:p>
        </w:tc>
        <w:tc>
          <w:tcPr>
            <w:tcW w:w="2268"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实际生产能力</w:t>
            </w:r>
          </w:p>
        </w:tc>
        <w:tc>
          <w:tcPr>
            <w:tcW w:w="1934" w:type="dxa"/>
            <w:tcMar>
              <w:left w:w="57" w:type="dxa"/>
              <w:right w:w="57" w:type="dxa"/>
            </w:tcMar>
            <w:vAlign w:val="center"/>
          </w:tcPr>
          <w:p>
            <w:pPr>
              <w:jc w:val="center"/>
              <w:rPr>
                <w:rFonts w:ascii="Times New Roman" w:hAnsi="Times New Roman" w:eastAsia="宋体" w:cs="Times New Roman"/>
                <w:bCs/>
                <w:sz w:val="15"/>
                <w:szCs w:val="15"/>
              </w:rPr>
            </w:pPr>
            <w:r>
              <w:rPr>
                <w:rFonts w:hint="eastAsia" w:ascii="Times New Roman" w:hAnsi="Times New Roman" w:eastAsia="宋体" w:cs="Times New Roman"/>
                <w:color w:val="000000" w:themeColor="text1"/>
                <w:sz w:val="15"/>
                <w:szCs w:val="15"/>
                <w14:textFill>
                  <w14:solidFill>
                    <w14:schemeClr w14:val="tx1"/>
                  </w14:solidFill>
                </w14:textFill>
              </w:rPr>
              <w:t>年存栏母猪860头，年出栏生猪12000头</w:t>
            </w:r>
          </w:p>
        </w:tc>
        <w:tc>
          <w:tcPr>
            <w:tcW w:w="1540"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环评单位</w:t>
            </w:r>
          </w:p>
        </w:tc>
        <w:tc>
          <w:tcPr>
            <w:tcW w:w="2450" w:type="dxa"/>
            <w:gridSpan w:val="4"/>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重庆华地资环科技有限公司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环评文件审批机关</w:t>
            </w:r>
          </w:p>
        </w:tc>
        <w:tc>
          <w:tcPr>
            <w:tcW w:w="5291" w:type="dxa"/>
            <w:gridSpan w:val="6"/>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重庆市合川区生态环境局</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审批文号</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渝（合）环准[2021]114号</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环评文件类型</w:t>
            </w:r>
          </w:p>
        </w:tc>
        <w:tc>
          <w:tcPr>
            <w:tcW w:w="2450" w:type="dxa"/>
            <w:gridSpan w:val="4"/>
            <w:tcMar>
              <w:left w:w="57" w:type="dxa"/>
              <w:right w:w="57" w:type="dxa"/>
            </w:tcMar>
            <w:vAlign w:val="center"/>
          </w:tcPr>
          <w:p>
            <w:pPr>
              <w:jc w:val="cente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cs="Times New Roman"/>
                <w:color w:val="000000" w:themeColor="text1"/>
                <w:sz w:val="15"/>
                <w:szCs w:val="15"/>
                <w14:textFill>
                  <w14:solidFill>
                    <w14:schemeClr w14:val="tx1"/>
                  </w14:solidFill>
                </w14:textFill>
              </w:rPr>
              <w:t>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开工日期</w:t>
            </w:r>
          </w:p>
        </w:tc>
        <w:tc>
          <w:tcPr>
            <w:tcW w:w="5291" w:type="dxa"/>
            <w:gridSpan w:val="6"/>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2021年11月</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竣工日期</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2022年3月</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排污许可证申领时间</w:t>
            </w:r>
          </w:p>
        </w:tc>
        <w:tc>
          <w:tcPr>
            <w:tcW w:w="2450" w:type="dxa"/>
            <w:gridSpan w:val="4"/>
            <w:tcMar>
              <w:left w:w="57" w:type="dxa"/>
              <w:right w:w="57" w:type="dxa"/>
            </w:tcMar>
            <w:vAlign w:val="center"/>
          </w:tcPr>
          <w:p>
            <w:pPr>
              <w:jc w:val="center"/>
              <w:rPr>
                <w:rFonts w:ascii="Times New Roman" w:hAnsi="Times New Roman" w:cs="Times New Roman"/>
                <w:color w:val="000000" w:themeColor="text1"/>
                <w:sz w:val="15"/>
                <w:szCs w:val="15"/>
                <w14:textFill>
                  <w14:solidFill>
                    <w14:schemeClr w14:val="tx1"/>
                  </w14:solidFill>
                </w14:textFill>
              </w:rPr>
            </w:pPr>
            <w:r>
              <w:rPr>
                <w:rFonts w:hint="eastAsia" w:ascii="Times New Roman" w:hAnsi="Times New Roman" w:cs="Times New Roman"/>
                <w:color w:val="000000" w:themeColor="text1"/>
                <w:sz w:val="15"/>
                <w:szCs w:val="15"/>
                <w14:textFill>
                  <w14:solidFill>
                    <w14:schemeClr w14:val="tx1"/>
                  </w14:solidFill>
                </w14:textFill>
              </w:rPr>
              <w:t>2022年3月16日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环保设施设计单位</w:t>
            </w:r>
          </w:p>
        </w:tc>
        <w:tc>
          <w:tcPr>
            <w:tcW w:w="5291" w:type="dxa"/>
            <w:gridSpan w:val="6"/>
            <w:tcMar>
              <w:left w:w="57" w:type="dxa"/>
              <w:right w:w="57" w:type="dxa"/>
            </w:tcMar>
            <w:vAlign w:val="center"/>
          </w:tcPr>
          <w:p>
            <w:pPr>
              <w:jc w:val="center"/>
              <w:rPr>
                <w:rFonts w:ascii="Times New Roman" w:hAnsi="Times New Roman" w:cs="Times New Roman"/>
                <w:b/>
                <w:sz w:val="15"/>
                <w:szCs w:val="15"/>
              </w:rPr>
            </w:pPr>
            <w:r>
              <w:rPr>
                <w:rFonts w:hint="eastAsia" w:ascii="Times New Roman" w:hAnsi="Times New Roman" w:cs="Times New Roman"/>
                <w:sz w:val="15"/>
                <w:szCs w:val="15"/>
              </w:rPr>
              <w:t>/</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环保设施施工单位</w:t>
            </w:r>
          </w:p>
        </w:tc>
        <w:tc>
          <w:tcPr>
            <w:tcW w:w="1934" w:type="dxa"/>
            <w:tcMar>
              <w:left w:w="57" w:type="dxa"/>
              <w:right w:w="57" w:type="dxa"/>
            </w:tcMar>
            <w:vAlign w:val="center"/>
          </w:tcPr>
          <w:p>
            <w:pPr>
              <w:jc w:val="center"/>
              <w:rPr>
                <w:rFonts w:ascii="Times New Roman" w:hAnsi="Times New Roman" w:cs="Times New Roman"/>
                <w:sz w:val="15"/>
                <w:szCs w:val="15"/>
              </w:rPr>
            </w:pPr>
            <w:r>
              <w:rPr>
                <w:rFonts w:hint="eastAsia" w:ascii="Times New Roman" w:hAnsi="Times New Roman" w:cs="Times New Roman"/>
                <w:sz w:val="15"/>
                <w:szCs w:val="15"/>
              </w:rPr>
              <w:t>/</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本工程排污许可证编号</w:t>
            </w:r>
          </w:p>
        </w:tc>
        <w:tc>
          <w:tcPr>
            <w:tcW w:w="2450" w:type="dxa"/>
            <w:gridSpan w:val="4"/>
            <w:tcMar>
              <w:left w:w="57" w:type="dxa"/>
              <w:right w:w="57" w:type="dxa"/>
            </w:tcMar>
            <w:vAlign w:val="center"/>
          </w:tcPr>
          <w:p>
            <w:pPr>
              <w:jc w:val="center"/>
              <w:rPr>
                <w:rFonts w:ascii="Times New Roman" w:hAnsi="Times New Roman" w:cs="Times New Roman"/>
                <w:color w:val="000000" w:themeColor="text1"/>
                <w:sz w:val="15"/>
                <w:szCs w:val="15"/>
                <w14:textFill>
                  <w14:solidFill>
                    <w14:schemeClr w14:val="tx1"/>
                  </w14:solidFill>
                </w14:textFill>
              </w:rPr>
            </w:pPr>
            <w:r>
              <w:rPr>
                <w:rFonts w:hint="eastAsia" w:ascii="Times New Roman" w:hAnsi="Times New Roman" w:cs="Times New Roman"/>
                <w:color w:val="000000" w:themeColor="text1"/>
                <w:sz w:val="15"/>
                <w:szCs w:val="15"/>
                <w14:textFill>
                  <w14:solidFill>
                    <w14:schemeClr w14:val="tx1"/>
                  </w14:solidFill>
                </w14:textFill>
              </w:rPr>
              <w:t>登记编号：92500117MA60WE9U3A001Z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验收单位</w:t>
            </w:r>
          </w:p>
        </w:tc>
        <w:tc>
          <w:tcPr>
            <w:tcW w:w="5291" w:type="dxa"/>
            <w:gridSpan w:val="6"/>
            <w:tcMar>
              <w:left w:w="57" w:type="dxa"/>
              <w:right w:w="57" w:type="dxa"/>
            </w:tcMar>
            <w:vAlign w:val="center"/>
          </w:tcPr>
          <w:p>
            <w:pPr>
              <w:jc w:val="center"/>
              <w:rPr>
                <w:rFonts w:ascii="Times New Roman" w:hAnsi="Times New Roman" w:eastAsia="宋体" w:cs="Times New Roman"/>
                <w:bCs/>
                <w:sz w:val="15"/>
                <w:szCs w:val="15"/>
              </w:rPr>
            </w:pPr>
            <w:r>
              <w:rPr>
                <w:rFonts w:ascii="Times New Roman" w:hAnsi="Times New Roman" w:cs="Times New Roman"/>
                <w:bCs/>
                <w:sz w:val="15"/>
                <w:szCs w:val="15"/>
              </w:rPr>
              <w:t>合川区尹发家庭农场</w:t>
            </w:r>
          </w:p>
        </w:tc>
        <w:tc>
          <w:tcPr>
            <w:tcW w:w="2268"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环保设施监测单位</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重庆市九升检测技术有限公司</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验收监测时工况</w:t>
            </w:r>
          </w:p>
        </w:tc>
        <w:tc>
          <w:tcPr>
            <w:tcW w:w="2450" w:type="dxa"/>
            <w:gridSpan w:val="4"/>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投资总概算（万元）</w:t>
            </w:r>
          </w:p>
        </w:tc>
        <w:tc>
          <w:tcPr>
            <w:tcW w:w="5291" w:type="dxa"/>
            <w:gridSpan w:val="6"/>
            <w:tcMar>
              <w:left w:w="57" w:type="dxa"/>
              <w:right w:w="57" w:type="dxa"/>
            </w:tcMar>
            <w:vAlign w:val="center"/>
          </w:tcPr>
          <w:p>
            <w:pPr>
              <w:jc w:val="center"/>
              <w:rPr>
                <w:rFonts w:ascii="Times New Roman" w:hAnsi="Times New Roman" w:eastAsia="宋体" w:cs="Times New Roman"/>
                <w:bCs/>
                <w:sz w:val="15"/>
                <w:szCs w:val="15"/>
              </w:rPr>
            </w:pPr>
            <w:r>
              <w:rPr>
                <w:rFonts w:hint="eastAsia" w:ascii="Times New Roman" w:hAnsi="Times New Roman" w:eastAsia="宋体" w:cs="Times New Roman"/>
                <w:bCs/>
                <w:sz w:val="15"/>
                <w:szCs w:val="15"/>
              </w:rPr>
              <w:t>2</w:t>
            </w:r>
            <w:r>
              <w:rPr>
                <w:rFonts w:ascii="Times New Roman" w:hAnsi="Times New Roman" w:eastAsia="宋体" w:cs="Times New Roman"/>
                <w:bCs/>
                <w:sz w:val="15"/>
                <w:szCs w:val="15"/>
              </w:rPr>
              <w:t>800</w:t>
            </w:r>
          </w:p>
        </w:tc>
        <w:tc>
          <w:tcPr>
            <w:tcW w:w="2268" w:type="dxa"/>
            <w:gridSpan w:val="2"/>
            <w:tcMar>
              <w:left w:w="57" w:type="dxa"/>
              <w:right w:w="57" w:type="dxa"/>
            </w:tcMar>
            <w:vAlign w:val="center"/>
          </w:tcPr>
          <w:p>
            <w:pPr>
              <w:tabs>
                <w:tab w:val="left" w:pos="690"/>
              </w:tabs>
              <w:jc w:val="center"/>
              <w:rPr>
                <w:rFonts w:ascii="Times New Roman" w:hAnsi="Times New Roman" w:cs="Times New Roman"/>
                <w:sz w:val="15"/>
                <w:szCs w:val="15"/>
              </w:rPr>
            </w:pPr>
            <w:r>
              <w:rPr>
                <w:rFonts w:ascii="Times New Roman" w:hAnsi="Times New Roman" w:cs="Times New Roman"/>
                <w:b/>
                <w:sz w:val="15"/>
                <w:szCs w:val="15"/>
              </w:rPr>
              <w:t>环保投资总概算（万元）</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bCs/>
                <w:sz w:val="15"/>
                <w:szCs w:val="15"/>
              </w:rPr>
              <w:t>170</w:t>
            </w:r>
          </w:p>
        </w:tc>
        <w:tc>
          <w:tcPr>
            <w:tcW w:w="1540" w:type="dxa"/>
            <w:gridSpan w:val="2"/>
            <w:tcMar>
              <w:left w:w="57" w:type="dxa"/>
              <w:right w:w="57" w:type="dxa"/>
            </w:tcMar>
            <w:vAlign w:val="center"/>
          </w:tcPr>
          <w:p>
            <w:pPr>
              <w:tabs>
                <w:tab w:val="left" w:pos="690"/>
              </w:tabs>
              <w:jc w:val="center"/>
              <w:rPr>
                <w:rFonts w:ascii="Times New Roman" w:hAnsi="Times New Roman" w:cs="Times New Roman"/>
                <w:sz w:val="15"/>
                <w:szCs w:val="15"/>
              </w:rPr>
            </w:pPr>
            <w:r>
              <w:rPr>
                <w:rFonts w:ascii="Times New Roman" w:hAnsi="Times New Roman" w:cs="Times New Roman"/>
                <w:b/>
                <w:sz w:val="15"/>
                <w:szCs w:val="15"/>
              </w:rPr>
              <w:t>所占比例（%）</w:t>
            </w:r>
          </w:p>
        </w:tc>
        <w:tc>
          <w:tcPr>
            <w:tcW w:w="2450" w:type="dxa"/>
            <w:gridSpan w:val="4"/>
            <w:tcMar>
              <w:left w:w="57" w:type="dxa"/>
              <w:right w:w="57" w:type="dxa"/>
            </w:tcMar>
            <w:vAlign w:val="center"/>
          </w:tcPr>
          <w:p>
            <w:pPr>
              <w:tabs>
                <w:tab w:val="left" w:pos="690"/>
              </w:tabs>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6</w:t>
            </w:r>
            <w:r>
              <w:rPr>
                <w:rFonts w:ascii="Times New Roman" w:hAnsi="Times New Roman" w:eastAsia="宋体" w:cs="Times New Roman"/>
                <w:sz w:val="15"/>
                <w:szCs w:val="15"/>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实际总投资（万元）</w:t>
            </w:r>
          </w:p>
        </w:tc>
        <w:tc>
          <w:tcPr>
            <w:tcW w:w="5291" w:type="dxa"/>
            <w:gridSpan w:val="6"/>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2</w:t>
            </w:r>
            <w:r>
              <w:rPr>
                <w:rFonts w:ascii="Times New Roman" w:hAnsi="Times New Roman" w:eastAsia="宋体" w:cs="Times New Roman"/>
                <w:sz w:val="15"/>
                <w:szCs w:val="15"/>
              </w:rPr>
              <w:t>800</w:t>
            </w:r>
          </w:p>
        </w:tc>
        <w:tc>
          <w:tcPr>
            <w:tcW w:w="2268" w:type="dxa"/>
            <w:gridSpan w:val="2"/>
            <w:tcMar>
              <w:left w:w="57" w:type="dxa"/>
              <w:right w:w="57" w:type="dxa"/>
            </w:tcMar>
            <w:vAlign w:val="center"/>
          </w:tcPr>
          <w:p>
            <w:pPr>
              <w:tabs>
                <w:tab w:val="left" w:pos="690"/>
              </w:tabs>
              <w:jc w:val="center"/>
              <w:rPr>
                <w:rFonts w:ascii="Times New Roman" w:hAnsi="Times New Roman" w:cs="Times New Roman"/>
                <w:b/>
                <w:sz w:val="15"/>
                <w:szCs w:val="15"/>
              </w:rPr>
            </w:pPr>
            <w:r>
              <w:rPr>
                <w:rFonts w:ascii="Times New Roman" w:hAnsi="Times New Roman" w:cs="Times New Roman"/>
                <w:b/>
                <w:sz w:val="15"/>
                <w:szCs w:val="15"/>
              </w:rPr>
              <w:t>实际环保投资（万元）</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169.8</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所占比例（%）</w:t>
            </w:r>
          </w:p>
        </w:tc>
        <w:tc>
          <w:tcPr>
            <w:tcW w:w="2450" w:type="dxa"/>
            <w:gridSpan w:val="4"/>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6</w:t>
            </w:r>
            <w:r>
              <w:rPr>
                <w:rFonts w:ascii="Times New Roman" w:hAnsi="Times New Roman" w:eastAsia="宋体" w:cs="Times New Roman"/>
                <w:sz w:val="15"/>
                <w:szCs w:val="15"/>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废水治理（万元）</w:t>
            </w:r>
          </w:p>
        </w:tc>
        <w:tc>
          <w:tcPr>
            <w:tcW w:w="828" w:type="dxa"/>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8</w:t>
            </w:r>
            <w:r>
              <w:rPr>
                <w:rFonts w:ascii="Times New Roman" w:hAnsi="Times New Roman" w:eastAsia="宋体" w:cs="Times New Roman"/>
                <w:sz w:val="15"/>
                <w:szCs w:val="15"/>
              </w:rPr>
              <w:t>0</w:t>
            </w:r>
          </w:p>
        </w:tc>
        <w:tc>
          <w:tcPr>
            <w:tcW w:w="1379"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废气治理（万元）</w:t>
            </w:r>
          </w:p>
        </w:tc>
        <w:tc>
          <w:tcPr>
            <w:tcW w:w="1097"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33.2</w:t>
            </w:r>
          </w:p>
        </w:tc>
        <w:tc>
          <w:tcPr>
            <w:tcW w:w="994"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噪声治理（万元）</w:t>
            </w:r>
          </w:p>
        </w:tc>
        <w:tc>
          <w:tcPr>
            <w:tcW w:w="993" w:type="dxa"/>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5</w:t>
            </w:r>
          </w:p>
        </w:tc>
        <w:tc>
          <w:tcPr>
            <w:tcW w:w="2268"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固体废物治理（万元）</w:t>
            </w:r>
          </w:p>
        </w:tc>
        <w:tc>
          <w:tcPr>
            <w:tcW w:w="193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22.7</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绿化及生态</w:t>
            </w:r>
          </w:p>
        </w:tc>
        <w:tc>
          <w:tcPr>
            <w:tcW w:w="55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0</w:t>
            </w:r>
          </w:p>
        </w:tc>
        <w:tc>
          <w:tcPr>
            <w:tcW w:w="1102"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其他</w:t>
            </w:r>
          </w:p>
        </w:tc>
        <w:tc>
          <w:tcPr>
            <w:tcW w:w="794"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28.9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9" w:type="dxa"/>
            <w:vMerge w:val="continue"/>
            <w:tcMar>
              <w:left w:w="57" w:type="dxa"/>
              <w:right w:w="57" w:type="dxa"/>
            </w:tcMar>
            <w:vAlign w:val="center"/>
          </w:tcPr>
          <w:p>
            <w:pPr>
              <w:jc w:val="center"/>
              <w:rPr>
                <w:rFonts w:ascii="Times New Roman" w:hAnsi="Times New Roman" w:cs="Times New Roman"/>
                <w:sz w:val="15"/>
                <w:szCs w:val="15"/>
              </w:rPr>
            </w:pPr>
          </w:p>
        </w:tc>
        <w:tc>
          <w:tcPr>
            <w:tcW w:w="1964" w:type="dxa"/>
            <w:gridSpan w:val="3"/>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新增废水处理设施能力</w:t>
            </w:r>
          </w:p>
        </w:tc>
        <w:tc>
          <w:tcPr>
            <w:tcW w:w="5291" w:type="dxa"/>
            <w:gridSpan w:val="6"/>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2268"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新增废气处理设施能力</w:t>
            </w: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540"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年平均工作时</w:t>
            </w:r>
          </w:p>
        </w:tc>
        <w:tc>
          <w:tcPr>
            <w:tcW w:w="2450" w:type="dxa"/>
            <w:gridSpan w:val="4"/>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cs="Times New Roman"/>
                <w:sz w:val="15"/>
                <w:szCs w:val="15"/>
                <w:lang w:val="en-US" w:eastAsia="zh-CN"/>
              </w:rPr>
              <w:t>8760</w:t>
            </w:r>
            <w:r>
              <w:rPr>
                <w:rFonts w:ascii="Times New Roman" w:hAnsi="Times New Roman" w:cs="Times New Roman"/>
                <w:sz w:val="15"/>
                <w:szCs w:val="15"/>
              </w:rPr>
              <w:t xml:space="preserve"> 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3" w:type="dxa"/>
            <w:gridSpan w:val="4"/>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运营单位</w:t>
            </w:r>
          </w:p>
        </w:tc>
        <w:tc>
          <w:tcPr>
            <w:tcW w:w="4291" w:type="dxa"/>
            <w:gridSpan w:val="4"/>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Cs/>
                <w:sz w:val="15"/>
                <w:szCs w:val="15"/>
              </w:rPr>
              <w:t>合川区尹发家庭农场</w:t>
            </w:r>
          </w:p>
        </w:tc>
        <w:tc>
          <w:tcPr>
            <w:tcW w:w="3268" w:type="dxa"/>
            <w:gridSpan w:val="4"/>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运营单位社会统一信用代码（或组织机构代码）</w:t>
            </w:r>
          </w:p>
        </w:tc>
        <w:tc>
          <w:tcPr>
            <w:tcW w:w="1934"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eastAsia="微软雅黑" w:cs="Times New Roman"/>
                <w:bCs/>
                <w:sz w:val="15"/>
                <w:szCs w:val="15"/>
              </w:rPr>
              <w:t>92500117MA60WE9U3A</w:t>
            </w:r>
          </w:p>
        </w:tc>
        <w:tc>
          <w:tcPr>
            <w:tcW w:w="1540"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验收时间</w:t>
            </w:r>
          </w:p>
        </w:tc>
        <w:tc>
          <w:tcPr>
            <w:tcW w:w="2450" w:type="dxa"/>
            <w:gridSpan w:val="4"/>
            <w:tcMar>
              <w:left w:w="57" w:type="dxa"/>
              <w:right w:w="57" w:type="dxa"/>
            </w:tcMar>
            <w:vAlign w:val="center"/>
          </w:tcPr>
          <w:p>
            <w:pPr>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202</w:t>
            </w:r>
            <w:r>
              <w:rPr>
                <w:rFonts w:ascii="Times New Roman" w:hAnsi="Times New Roman" w:eastAsia="宋体" w:cs="Times New Roman"/>
                <w:sz w:val="15"/>
                <w:szCs w:val="15"/>
              </w:rPr>
              <w:t>4</w:t>
            </w:r>
            <w:r>
              <w:rPr>
                <w:rFonts w:hint="eastAsia" w:ascii="Times New Roman" w:hAnsi="Times New Roman" w:eastAsia="宋体" w:cs="Times New Roman"/>
                <w:sz w:val="15"/>
                <w:szCs w:val="15"/>
              </w:rPr>
              <w:t>年</w:t>
            </w:r>
            <w:r>
              <w:rPr>
                <w:rFonts w:ascii="Times New Roman" w:hAnsi="Times New Roman" w:eastAsia="宋体" w:cs="Times New Roman"/>
                <w:sz w:val="15"/>
                <w:szCs w:val="15"/>
              </w:rPr>
              <w:t>1</w:t>
            </w:r>
            <w:r>
              <w:rPr>
                <w:rFonts w:hint="eastAsia" w:ascii="Times New Roman" w:hAnsi="Times New Roman" w:eastAsia="宋体" w:cs="Times New Roman"/>
                <w:sz w:val="15"/>
                <w:szCs w:val="15"/>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restart"/>
            <w:tcMar>
              <w:left w:w="57" w:type="dxa"/>
              <w:right w:w="57" w:type="dxa"/>
            </w:tcMar>
            <w:vAlign w:val="center"/>
          </w:tcPr>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污染</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物排</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放达</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标与</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总量</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控制（工</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业建</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设项</w:t>
            </w:r>
          </w:p>
          <w:p>
            <w:pPr>
              <w:jc w:val="center"/>
              <w:rPr>
                <w:rFonts w:ascii="Times New Roman" w:hAnsi="Times New Roman" w:eastAsia="黑体" w:cs="Times New Roman"/>
                <w:b/>
                <w:spacing w:val="20"/>
                <w:sz w:val="15"/>
                <w:szCs w:val="15"/>
              </w:rPr>
            </w:pPr>
            <w:r>
              <w:rPr>
                <w:rFonts w:ascii="Times New Roman" w:hAnsi="Times New Roman" w:eastAsia="黑体" w:cs="Times New Roman"/>
                <w:b/>
                <w:spacing w:val="20"/>
                <w:sz w:val="15"/>
                <w:szCs w:val="15"/>
              </w:rPr>
              <w:t>目详填）</w:t>
            </w:r>
          </w:p>
        </w:tc>
        <w:tc>
          <w:tcPr>
            <w:tcW w:w="1796"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污染物</w:t>
            </w:r>
          </w:p>
        </w:tc>
        <w:tc>
          <w:tcPr>
            <w:tcW w:w="828"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原有排</w:t>
            </w:r>
          </w:p>
          <w:p>
            <w:pPr>
              <w:jc w:val="center"/>
              <w:rPr>
                <w:rFonts w:ascii="Times New Roman" w:hAnsi="Times New Roman" w:cs="Times New Roman"/>
                <w:b/>
                <w:sz w:val="15"/>
                <w:szCs w:val="15"/>
              </w:rPr>
            </w:pPr>
            <w:r>
              <w:rPr>
                <w:rFonts w:ascii="Times New Roman" w:hAnsi="Times New Roman" w:cs="Times New Roman"/>
                <w:b/>
                <w:sz w:val="15"/>
                <w:szCs w:val="15"/>
              </w:rPr>
              <w:t>放量（1)</w:t>
            </w:r>
          </w:p>
        </w:tc>
        <w:tc>
          <w:tcPr>
            <w:tcW w:w="1379"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本期工程实际排放浓度（2)</w:t>
            </w:r>
          </w:p>
        </w:tc>
        <w:tc>
          <w:tcPr>
            <w:tcW w:w="1097"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本期工程允许排放浓度（3)</w:t>
            </w:r>
          </w:p>
        </w:tc>
        <w:tc>
          <w:tcPr>
            <w:tcW w:w="994"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本期工程产生量（4)</w:t>
            </w:r>
          </w:p>
        </w:tc>
        <w:tc>
          <w:tcPr>
            <w:tcW w:w="993"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本期工程自身削减量（5)</w:t>
            </w:r>
          </w:p>
        </w:tc>
        <w:tc>
          <w:tcPr>
            <w:tcW w:w="1243"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本期工程实际排放量（6)</w:t>
            </w:r>
          </w:p>
        </w:tc>
        <w:tc>
          <w:tcPr>
            <w:tcW w:w="1025"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本期工程核定排放总量（7)</w:t>
            </w:r>
          </w:p>
        </w:tc>
        <w:tc>
          <w:tcPr>
            <w:tcW w:w="1934"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本期工程“以新带老”削减量（8)</w:t>
            </w:r>
          </w:p>
        </w:tc>
        <w:tc>
          <w:tcPr>
            <w:tcW w:w="850"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全厂实际排放总量（9)</w:t>
            </w:r>
          </w:p>
        </w:tc>
        <w:tc>
          <w:tcPr>
            <w:tcW w:w="1244"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全厂核定排放总量（10)</w:t>
            </w:r>
          </w:p>
        </w:tc>
        <w:tc>
          <w:tcPr>
            <w:tcW w:w="1102"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区域平衡替代削减量（11)</w:t>
            </w:r>
          </w:p>
        </w:tc>
        <w:tc>
          <w:tcPr>
            <w:tcW w:w="794" w:type="dxa"/>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废水</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化学需氧量</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eastAsia="宋体" w:cs="Times New Roman"/>
                <w:sz w:val="15"/>
                <w:szCs w:val="15"/>
              </w:rPr>
            </w:pPr>
          </w:p>
        </w:tc>
        <w:tc>
          <w:tcPr>
            <w:tcW w:w="1097"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eastAsia="宋体" w:cs="Times New Roman"/>
                <w:sz w:val="15"/>
                <w:szCs w:val="15"/>
              </w:rPr>
            </w:pPr>
          </w:p>
        </w:tc>
        <w:tc>
          <w:tcPr>
            <w:tcW w:w="1243"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氨氮</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eastAsia="宋体" w:cs="Times New Roman"/>
                <w:sz w:val="15"/>
                <w:szCs w:val="15"/>
              </w:rPr>
            </w:pPr>
          </w:p>
        </w:tc>
        <w:tc>
          <w:tcPr>
            <w:tcW w:w="1243"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石油类</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eastAsia="黑体" w:cs="Times New Roman"/>
                <w:b/>
                <w:sz w:val="15"/>
                <w:szCs w:val="15"/>
              </w:rPr>
            </w:pPr>
            <w:r>
              <w:rPr>
                <w:rFonts w:ascii="Times New Roman" w:hAnsi="Times New Roman" w:cs="Times New Roman"/>
                <w:b/>
                <w:sz w:val="15"/>
                <w:szCs w:val="15"/>
              </w:rPr>
              <w:t>废气</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二氧化硫</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烟尘</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eastAsia="宋体"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工业粉尘</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eastAsia="宋体"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cs="Times New Roman"/>
                <w:b/>
                <w:sz w:val="15"/>
                <w:szCs w:val="15"/>
              </w:rPr>
            </w:pPr>
            <w:r>
              <w:rPr>
                <w:rFonts w:ascii="Times New Roman" w:hAnsi="Times New Roman" w:cs="Times New Roman"/>
                <w:b/>
                <w:sz w:val="15"/>
                <w:szCs w:val="15"/>
              </w:rPr>
              <w:t>氮氧化物</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eastAsia="宋体"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textAlignment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1796" w:type="dxa"/>
            <w:gridSpan w:val="2"/>
            <w:tcMar>
              <w:left w:w="57" w:type="dxa"/>
              <w:right w:w="57" w:type="dxa"/>
            </w:tcMar>
            <w:vAlign w:val="center"/>
          </w:tcPr>
          <w:p>
            <w:pPr>
              <w:jc w:val="center"/>
              <w:rPr>
                <w:rFonts w:ascii="Times New Roman" w:hAnsi="Times New Roman" w:eastAsia="黑体" w:cs="Times New Roman"/>
                <w:b/>
                <w:sz w:val="15"/>
                <w:szCs w:val="15"/>
              </w:rPr>
            </w:pPr>
            <w:r>
              <w:rPr>
                <w:rFonts w:ascii="Times New Roman" w:hAnsi="Times New Roman" w:cs="Times New Roman"/>
                <w:b/>
                <w:sz w:val="15"/>
                <w:szCs w:val="15"/>
              </w:rPr>
              <w:t>工业固体废物</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vAlign w:val="cente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vAlign w:val="cente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restart"/>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b/>
                <w:sz w:val="15"/>
                <w:szCs w:val="15"/>
              </w:rPr>
              <w:t>与项目有关的其他特征污染物</w:t>
            </w: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悬浮物</w:t>
            </w:r>
          </w:p>
        </w:tc>
        <w:tc>
          <w:tcPr>
            <w:tcW w:w="828" w:type="dxa"/>
            <w:tcMar>
              <w:left w:w="57" w:type="dxa"/>
              <w:right w:w="57" w:type="dxa"/>
            </w:tcMar>
            <w:vAlign w:val="center"/>
          </w:tcPr>
          <w:p>
            <w:pPr>
              <w:jc w:val="center"/>
              <w:rPr>
                <w:rFonts w:ascii="Times New Roman" w:hAnsi="Times New Roman" w:eastAsia="宋体"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总氰化物</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总镍</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总铜</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氯化氢</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eastAsia="宋体" w:cs="Times New Roman"/>
                <w:sz w:val="15"/>
                <w:szCs w:val="15"/>
              </w:rPr>
              <w:t>硫酸雾</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甲醛</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eastAsia="宋体"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eastAsia="宋体"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eastAsia="宋体"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7" w:type="dxa"/>
            <w:gridSpan w:val="2"/>
            <w:vMerge w:val="continue"/>
            <w:tcMar>
              <w:left w:w="57" w:type="dxa"/>
              <w:right w:w="57" w:type="dxa"/>
            </w:tcMar>
            <w:vAlign w:val="center"/>
          </w:tcPr>
          <w:p>
            <w:pPr>
              <w:jc w:val="center"/>
              <w:rPr>
                <w:rFonts w:ascii="Times New Roman" w:hAnsi="Times New Roman" w:cs="Times New Roman"/>
                <w:sz w:val="15"/>
                <w:szCs w:val="15"/>
              </w:rPr>
            </w:pPr>
          </w:p>
        </w:tc>
        <w:tc>
          <w:tcPr>
            <w:tcW w:w="785" w:type="dxa"/>
            <w:vMerge w:val="continue"/>
            <w:tcMar>
              <w:left w:w="57" w:type="dxa"/>
              <w:right w:w="57" w:type="dxa"/>
            </w:tcMar>
            <w:vAlign w:val="center"/>
          </w:tcPr>
          <w:p>
            <w:pPr>
              <w:jc w:val="center"/>
              <w:rPr>
                <w:rFonts w:ascii="Times New Roman" w:hAnsi="Times New Roman" w:cs="Times New Roman"/>
                <w:b/>
                <w:sz w:val="15"/>
                <w:szCs w:val="15"/>
              </w:rPr>
            </w:pPr>
          </w:p>
        </w:tc>
        <w:tc>
          <w:tcPr>
            <w:tcW w:w="1011"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饮食业油烟</w:t>
            </w:r>
          </w:p>
        </w:tc>
        <w:tc>
          <w:tcPr>
            <w:tcW w:w="828" w:type="dxa"/>
            <w:tcMar>
              <w:left w:w="57" w:type="dxa"/>
              <w:right w:w="57" w:type="dxa"/>
            </w:tcMar>
            <w:vAlign w:val="center"/>
          </w:tcPr>
          <w:p>
            <w:pPr>
              <w:jc w:val="center"/>
              <w:rPr>
                <w:rFonts w:ascii="Times New Roman" w:hAnsi="Times New Roman" w:cs="Times New Roman"/>
                <w:sz w:val="15"/>
                <w:szCs w:val="15"/>
              </w:rPr>
            </w:pPr>
          </w:p>
        </w:tc>
        <w:tc>
          <w:tcPr>
            <w:tcW w:w="1379" w:type="dxa"/>
            <w:tcMar>
              <w:left w:w="57" w:type="dxa"/>
              <w:right w:w="57" w:type="dxa"/>
            </w:tcMar>
          </w:tcPr>
          <w:p>
            <w:pPr>
              <w:jc w:val="center"/>
              <w:rPr>
                <w:rFonts w:ascii="Times New Roman" w:hAnsi="Times New Roman" w:cs="Times New Roman"/>
                <w:sz w:val="15"/>
                <w:szCs w:val="15"/>
              </w:rPr>
            </w:pPr>
          </w:p>
        </w:tc>
        <w:tc>
          <w:tcPr>
            <w:tcW w:w="1097"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994" w:type="dxa"/>
            <w:gridSpan w:val="2"/>
            <w:tcMar>
              <w:left w:w="57" w:type="dxa"/>
              <w:right w:w="57" w:type="dxa"/>
            </w:tcMar>
            <w:vAlign w:val="center"/>
          </w:tcPr>
          <w:p>
            <w:pPr>
              <w:jc w:val="center"/>
              <w:rPr>
                <w:rFonts w:ascii="Times New Roman" w:hAnsi="Times New Roman" w:cs="Times New Roman"/>
                <w:sz w:val="15"/>
                <w:szCs w:val="15"/>
              </w:rPr>
            </w:pPr>
          </w:p>
        </w:tc>
        <w:tc>
          <w:tcPr>
            <w:tcW w:w="993" w:type="dxa"/>
            <w:tcMar>
              <w:left w:w="57" w:type="dxa"/>
              <w:right w:w="57" w:type="dxa"/>
            </w:tcMar>
          </w:tcPr>
          <w:p>
            <w:pPr>
              <w:jc w:val="center"/>
              <w:rPr>
                <w:rFonts w:ascii="Times New Roman" w:hAnsi="Times New Roman" w:cs="Times New Roman"/>
                <w:sz w:val="15"/>
                <w:szCs w:val="15"/>
              </w:rPr>
            </w:pPr>
          </w:p>
        </w:tc>
        <w:tc>
          <w:tcPr>
            <w:tcW w:w="1243" w:type="dxa"/>
            <w:tcMar>
              <w:left w:w="57" w:type="dxa"/>
              <w:right w:w="57" w:type="dxa"/>
            </w:tcMa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025" w:type="dxa"/>
            <w:tcMar>
              <w:left w:w="57" w:type="dxa"/>
              <w:right w:w="57" w:type="dxa"/>
            </w:tcMar>
            <w:vAlign w:val="center"/>
          </w:tcPr>
          <w:p>
            <w:pPr>
              <w:jc w:val="center"/>
              <w:rPr>
                <w:rFonts w:ascii="Times New Roman" w:hAnsi="Times New Roman" w:cs="Times New Roman"/>
                <w:sz w:val="15"/>
                <w:szCs w:val="15"/>
              </w:rPr>
            </w:pPr>
          </w:p>
        </w:tc>
        <w:tc>
          <w:tcPr>
            <w:tcW w:w="193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850"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244"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1102" w:type="dxa"/>
            <w:gridSpan w:val="2"/>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c>
          <w:tcPr>
            <w:tcW w:w="794" w:type="dxa"/>
            <w:tcMar>
              <w:left w:w="57" w:type="dxa"/>
              <w:right w:w="57" w:type="dxa"/>
            </w:tcMar>
            <w:vAlign w:val="center"/>
          </w:tcPr>
          <w:p>
            <w:pPr>
              <w:jc w:val="center"/>
              <w:rPr>
                <w:rFonts w:ascii="Times New Roman" w:hAnsi="Times New Roman" w:cs="Times New Roman"/>
                <w:sz w:val="15"/>
                <w:szCs w:val="15"/>
              </w:rPr>
            </w:pPr>
            <w:r>
              <w:rPr>
                <w:rFonts w:ascii="Times New Roman" w:hAnsi="Times New Roman" w:cs="Times New Roman"/>
                <w:sz w:val="15"/>
                <w:szCs w:val="15"/>
              </w:rPr>
              <w:t>——</w:t>
            </w:r>
          </w:p>
        </w:tc>
      </w:tr>
    </w:tbl>
    <w:p>
      <w:pPr>
        <w:ind w:firstLine="678" w:firstLineChars="450"/>
        <w:jc w:val="left"/>
        <w:rPr>
          <w:rFonts w:ascii="Times New Roman" w:hAnsi="Times New Roman" w:cs="Times New Roman"/>
          <w:b/>
        </w:rPr>
      </w:pPr>
      <w:r>
        <w:rPr>
          <w:rFonts w:ascii="Times New Roman" w:hAnsi="Times New Roman" w:cs="Times New Roman"/>
          <w:b/>
          <w:sz w:val="15"/>
          <w:szCs w:val="15"/>
        </w:rPr>
        <w:t>注</w:t>
      </w:r>
      <w:r>
        <w:rPr>
          <w:rFonts w:ascii="Times New Roman" w:hAnsi="Times New Roman" w:cs="Times New Roman"/>
          <w:sz w:val="15"/>
          <w:szCs w:val="15"/>
        </w:rPr>
        <w:t>：1、</w:t>
      </w:r>
      <w:r>
        <w:rPr>
          <w:rFonts w:ascii="Times New Roman" w:hAnsi="Times New Roman" w:cs="Times New Roman"/>
          <w:spacing w:val="-4"/>
          <w:sz w:val="15"/>
          <w:szCs w:val="15"/>
        </w:rPr>
        <w:t>排放增减量：（+）表示增加，（-）表示减少。2、（12)=（6)-（8)-（11)，（9）= （4)-（5)-（8)- （11) +（1）。3、计量单位：废水排放量——万吨/年；废气排放量——万标立方米/年；工业固体废物排放</w:t>
      </w:r>
      <w:r>
        <w:rPr>
          <w:rFonts w:ascii="Times New Roman" w:hAnsi="Times New Roman" w:cs="Times New Roman"/>
          <w:sz w:val="15"/>
          <w:szCs w:val="15"/>
        </w:rPr>
        <w:t>量——万吨/年；水污染物排放浓度——毫克/升</w:t>
      </w:r>
    </w:p>
    <w:p>
      <w:pPr>
        <w:rPr>
          <w:rFonts w:ascii="Times New Roman" w:hAnsi="Times New Roman" w:cs="Times New Roman"/>
          <w:kern w:val="0"/>
          <w:sz w:val="18"/>
          <w:szCs w:val="18"/>
        </w:rPr>
        <w:sectPr>
          <w:type w:val="continuous"/>
          <w:pgSz w:w="16838" w:h="11906" w:orient="landscape"/>
          <w:pgMar w:top="680" w:right="794" w:bottom="680" w:left="794" w:header="851" w:footer="992" w:gutter="0"/>
          <w:cols w:space="720" w:num="1"/>
          <w:docGrid w:linePitch="312" w:charSpace="0"/>
        </w:sectPr>
      </w:pPr>
    </w:p>
    <w:p>
      <w:pPr>
        <w:pStyle w:val="2"/>
        <w:rPr>
          <w:rFonts w:cs="Times New Roman"/>
        </w:rPr>
      </w:pPr>
      <w:bookmarkStart w:id="265" w:name="_Toc497987798"/>
      <w:bookmarkStart w:id="266" w:name="_Toc497987635"/>
      <w:bookmarkStart w:id="267" w:name="_Toc22203"/>
      <w:bookmarkStart w:id="268" w:name="_Toc102039330"/>
      <w:bookmarkStart w:id="269" w:name="_Toc20511"/>
      <w:bookmarkStart w:id="270" w:name="_Toc497988079"/>
      <w:r>
        <w:rPr>
          <w:rFonts w:cs="Times New Roman"/>
        </w:rPr>
        <w:t>12 附图及附件</w:t>
      </w:r>
      <w:bookmarkEnd w:id="265"/>
      <w:bookmarkEnd w:id="266"/>
      <w:bookmarkEnd w:id="267"/>
      <w:bookmarkEnd w:id="268"/>
      <w:bookmarkEnd w:id="269"/>
      <w:bookmarkEnd w:id="270"/>
    </w:p>
    <w:sectPr>
      <w:headerReference r:id="rId6" w:type="default"/>
      <w:footerReference r:id="rId7"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Dutch801 Rm BT">
    <w:panose1 w:val="02020603060505020304"/>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
    <w:altName w:val="等线"/>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Plotter">
    <w:altName w:val="Lucida Console"/>
    <w:panose1 w:val="00000000000000000000"/>
    <w:charset w:val="00"/>
    <w:family w:val="moder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distribute"/>
      <w:rPr>
        <w:rFonts w:ascii="仿宋" w:hAnsi="仿宋" w:eastAsia="仿宋" w:cs="仿宋"/>
        <w:szCs w:val="21"/>
      </w:rPr>
    </w:pPr>
    <w:r>
      <w:rPr>
        <w:rFonts w:hint="eastAsia" w:ascii="仿宋" w:hAnsi="仿宋" w:eastAsia="仿宋" w:cs="仿宋"/>
        <w:szCs w:val="21"/>
      </w:rPr>
      <w:t>重庆市九升检测技术有限公司                               网址：</w:t>
    </w:r>
    <w:r>
      <w:fldChar w:fldCharType="begin"/>
    </w:r>
    <w:r>
      <w:instrText xml:space="preserve"> HYPERLINK "http://www.9sjc.com/" </w:instrText>
    </w:r>
    <w:r>
      <w:fldChar w:fldCharType="separate"/>
    </w:r>
    <w:r>
      <w:rPr>
        <w:rFonts w:hint="eastAsia" w:ascii="仿宋" w:hAnsi="仿宋" w:eastAsia="仿宋" w:cs="仿宋"/>
        <w:szCs w:val="21"/>
      </w:rPr>
      <w:t>http://www.9sjc.com/</w:t>
    </w:r>
    <w:r>
      <w:rPr>
        <w:rFonts w:hint="eastAsia" w:ascii="仿宋" w:hAnsi="仿宋" w:eastAsia="仿宋" w:cs="仿宋"/>
        <w:szCs w:val="21"/>
      </w:rPr>
      <w:fldChar w:fldCharType="end"/>
    </w:r>
  </w:p>
  <w:p>
    <w:pPr>
      <w:pStyle w:val="30"/>
      <w:rPr>
        <w:rFonts w:ascii="仿宋" w:hAnsi="仿宋" w:eastAsia="仿宋" w:cs="仿宋"/>
      </w:rPr>
    </w:pPr>
    <w:r>
      <w:rPr>
        <w:rFonts w:hint="eastAsia" w:ascii="仿宋" w:hAnsi="仿宋" w:eastAsia="仿宋" w:cs="仿宋"/>
        <w:lang w:val="zh-CN"/>
      </w:rPr>
      <w:t>合川区尹发家庭农场巴渝土杂猪养殖项目竣工环境保护验收监测报告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2F55D0"/>
    <w:multiLevelType w:val="singleLevel"/>
    <w:tmpl w:val="5A2F55D0"/>
    <w:lvl w:ilvl="0" w:tentative="0">
      <w:start w:val="1"/>
      <w:numFmt w:val="decimal"/>
      <w:suff w:val="nothing"/>
      <w:lvlText w:val="%1、"/>
      <w:lvlJc w:val="left"/>
    </w:lvl>
  </w:abstractNum>
  <w:abstractNum w:abstractNumId="1">
    <w:nsid w:val="74E37111"/>
    <w:multiLevelType w:val="multilevel"/>
    <w:tmpl w:val="74E37111"/>
    <w:lvl w:ilvl="0" w:tentative="0">
      <w:start w:val="1"/>
      <w:numFmt w:val="decimal"/>
      <w:pStyle w:val="25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NWI4MGM3MzVhYzZiNjExZjc3Y2I2NDI0N2EzY2YifQ=="/>
  </w:docVars>
  <w:rsids>
    <w:rsidRoot w:val="00172A27"/>
    <w:rsid w:val="00001DE1"/>
    <w:rsid w:val="00001E7A"/>
    <w:rsid w:val="00002F79"/>
    <w:rsid w:val="0000415C"/>
    <w:rsid w:val="0000693F"/>
    <w:rsid w:val="00006F1E"/>
    <w:rsid w:val="00007326"/>
    <w:rsid w:val="0001016E"/>
    <w:rsid w:val="00010A0E"/>
    <w:rsid w:val="00011C75"/>
    <w:rsid w:val="0001269A"/>
    <w:rsid w:val="000135AE"/>
    <w:rsid w:val="00013948"/>
    <w:rsid w:val="00013D18"/>
    <w:rsid w:val="000145F8"/>
    <w:rsid w:val="000152C1"/>
    <w:rsid w:val="00015893"/>
    <w:rsid w:val="0001595E"/>
    <w:rsid w:val="0001656B"/>
    <w:rsid w:val="00016B15"/>
    <w:rsid w:val="0001768B"/>
    <w:rsid w:val="000207A2"/>
    <w:rsid w:val="000209A2"/>
    <w:rsid w:val="00021B1F"/>
    <w:rsid w:val="000233F9"/>
    <w:rsid w:val="0002561B"/>
    <w:rsid w:val="00025B95"/>
    <w:rsid w:val="000269A5"/>
    <w:rsid w:val="000279D1"/>
    <w:rsid w:val="000316EF"/>
    <w:rsid w:val="000330B4"/>
    <w:rsid w:val="000333AE"/>
    <w:rsid w:val="000348E8"/>
    <w:rsid w:val="00036368"/>
    <w:rsid w:val="00037EE5"/>
    <w:rsid w:val="00040D4D"/>
    <w:rsid w:val="0004226C"/>
    <w:rsid w:val="0004339F"/>
    <w:rsid w:val="00045079"/>
    <w:rsid w:val="000452F7"/>
    <w:rsid w:val="0004795C"/>
    <w:rsid w:val="000520ED"/>
    <w:rsid w:val="00053963"/>
    <w:rsid w:val="00053D9F"/>
    <w:rsid w:val="00054E2B"/>
    <w:rsid w:val="00054F12"/>
    <w:rsid w:val="00055B39"/>
    <w:rsid w:val="00055E60"/>
    <w:rsid w:val="00056933"/>
    <w:rsid w:val="00056C3E"/>
    <w:rsid w:val="00057CA2"/>
    <w:rsid w:val="00061EE6"/>
    <w:rsid w:val="00062AA0"/>
    <w:rsid w:val="00063F2C"/>
    <w:rsid w:val="000642FD"/>
    <w:rsid w:val="00071F48"/>
    <w:rsid w:val="000736C1"/>
    <w:rsid w:val="00073732"/>
    <w:rsid w:val="0008172B"/>
    <w:rsid w:val="00081E6F"/>
    <w:rsid w:val="000826B4"/>
    <w:rsid w:val="00082AE2"/>
    <w:rsid w:val="00085919"/>
    <w:rsid w:val="000870FB"/>
    <w:rsid w:val="00091639"/>
    <w:rsid w:val="00091FC4"/>
    <w:rsid w:val="0009414E"/>
    <w:rsid w:val="00094391"/>
    <w:rsid w:val="00094524"/>
    <w:rsid w:val="000960B2"/>
    <w:rsid w:val="00096B15"/>
    <w:rsid w:val="00096E90"/>
    <w:rsid w:val="00097DED"/>
    <w:rsid w:val="000A0DC0"/>
    <w:rsid w:val="000A11FB"/>
    <w:rsid w:val="000A1A49"/>
    <w:rsid w:val="000A2152"/>
    <w:rsid w:val="000A2DCD"/>
    <w:rsid w:val="000A48C6"/>
    <w:rsid w:val="000A4993"/>
    <w:rsid w:val="000A609C"/>
    <w:rsid w:val="000A6653"/>
    <w:rsid w:val="000A7BC8"/>
    <w:rsid w:val="000A7CA7"/>
    <w:rsid w:val="000A7E52"/>
    <w:rsid w:val="000B05FA"/>
    <w:rsid w:val="000B2B78"/>
    <w:rsid w:val="000B2EA1"/>
    <w:rsid w:val="000B4809"/>
    <w:rsid w:val="000B4A06"/>
    <w:rsid w:val="000B4B6D"/>
    <w:rsid w:val="000B5685"/>
    <w:rsid w:val="000B6851"/>
    <w:rsid w:val="000B765B"/>
    <w:rsid w:val="000C167A"/>
    <w:rsid w:val="000C1CD1"/>
    <w:rsid w:val="000C370C"/>
    <w:rsid w:val="000C3EA7"/>
    <w:rsid w:val="000C3FCC"/>
    <w:rsid w:val="000C5D30"/>
    <w:rsid w:val="000C6D64"/>
    <w:rsid w:val="000D0592"/>
    <w:rsid w:val="000D13BC"/>
    <w:rsid w:val="000D4749"/>
    <w:rsid w:val="000D4DD3"/>
    <w:rsid w:val="000D4F39"/>
    <w:rsid w:val="000D5D58"/>
    <w:rsid w:val="000D5D7A"/>
    <w:rsid w:val="000D6AB3"/>
    <w:rsid w:val="000E1D82"/>
    <w:rsid w:val="000E49A1"/>
    <w:rsid w:val="000E4BA4"/>
    <w:rsid w:val="000E5FFA"/>
    <w:rsid w:val="000F1447"/>
    <w:rsid w:val="000F17D5"/>
    <w:rsid w:val="000F1B89"/>
    <w:rsid w:val="000F279D"/>
    <w:rsid w:val="000F4138"/>
    <w:rsid w:val="000F4386"/>
    <w:rsid w:val="000F4992"/>
    <w:rsid w:val="000F4FB6"/>
    <w:rsid w:val="000F7747"/>
    <w:rsid w:val="0010167A"/>
    <w:rsid w:val="00101DF2"/>
    <w:rsid w:val="00102F44"/>
    <w:rsid w:val="00103195"/>
    <w:rsid w:val="0010497C"/>
    <w:rsid w:val="00105DB8"/>
    <w:rsid w:val="001063D1"/>
    <w:rsid w:val="00107A9C"/>
    <w:rsid w:val="00107ED8"/>
    <w:rsid w:val="00110603"/>
    <w:rsid w:val="001113E2"/>
    <w:rsid w:val="00112830"/>
    <w:rsid w:val="00113B28"/>
    <w:rsid w:val="00114E8D"/>
    <w:rsid w:val="00116037"/>
    <w:rsid w:val="00116205"/>
    <w:rsid w:val="0011648F"/>
    <w:rsid w:val="001201CF"/>
    <w:rsid w:val="00120317"/>
    <w:rsid w:val="0012141C"/>
    <w:rsid w:val="001224E0"/>
    <w:rsid w:val="00122771"/>
    <w:rsid w:val="0012396E"/>
    <w:rsid w:val="001246E9"/>
    <w:rsid w:val="00125872"/>
    <w:rsid w:val="001265E5"/>
    <w:rsid w:val="001268CD"/>
    <w:rsid w:val="00126EEE"/>
    <w:rsid w:val="00127450"/>
    <w:rsid w:val="001315A9"/>
    <w:rsid w:val="00132CE7"/>
    <w:rsid w:val="00132DB0"/>
    <w:rsid w:val="00133CFD"/>
    <w:rsid w:val="0013494F"/>
    <w:rsid w:val="001351A0"/>
    <w:rsid w:val="00135436"/>
    <w:rsid w:val="001357FF"/>
    <w:rsid w:val="0013633E"/>
    <w:rsid w:val="001364BD"/>
    <w:rsid w:val="001375A9"/>
    <w:rsid w:val="00137FD1"/>
    <w:rsid w:val="00140835"/>
    <w:rsid w:val="001408B3"/>
    <w:rsid w:val="001410C6"/>
    <w:rsid w:val="0014209A"/>
    <w:rsid w:val="0014413B"/>
    <w:rsid w:val="00145A34"/>
    <w:rsid w:val="00146F08"/>
    <w:rsid w:val="001474DF"/>
    <w:rsid w:val="00147C5E"/>
    <w:rsid w:val="0015266F"/>
    <w:rsid w:val="001532F2"/>
    <w:rsid w:val="00154E8C"/>
    <w:rsid w:val="00154F8E"/>
    <w:rsid w:val="0015544C"/>
    <w:rsid w:val="001576EA"/>
    <w:rsid w:val="00157C69"/>
    <w:rsid w:val="001623C5"/>
    <w:rsid w:val="001625C7"/>
    <w:rsid w:val="001636AE"/>
    <w:rsid w:val="00163F48"/>
    <w:rsid w:val="00166DF5"/>
    <w:rsid w:val="001674C5"/>
    <w:rsid w:val="001711B6"/>
    <w:rsid w:val="0017120F"/>
    <w:rsid w:val="00172A27"/>
    <w:rsid w:val="00172FE2"/>
    <w:rsid w:val="00173E38"/>
    <w:rsid w:val="00174202"/>
    <w:rsid w:val="00174B2C"/>
    <w:rsid w:val="0017689B"/>
    <w:rsid w:val="00176A2F"/>
    <w:rsid w:val="00177175"/>
    <w:rsid w:val="00177817"/>
    <w:rsid w:val="00177B40"/>
    <w:rsid w:val="00181B57"/>
    <w:rsid w:val="0018304F"/>
    <w:rsid w:val="00183832"/>
    <w:rsid w:val="0018434A"/>
    <w:rsid w:val="00184EC0"/>
    <w:rsid w:val="001851B5"/>
    <w:rsid w:val="00185747"/>
    <w:rsid w:val="00186B41"/>
    <w:rsid w:val="00190B71"/>
    <w:rsid w:val="001911E9"/>
    <w:rsid w:val="00191D88"/>
    <w:rsid w:val="00191E6D"/>
    <w:rsid w:val="0019258B"/>
    <w:rsid w:val="00193876"/>
    <w:rsid w:val="00195AA6"/>
    <w:rsid w:val="00195C82"/>
    <w:rsid w:val="001966D9"/>
    <w:rsid w:val="00196EA8"/>
    <w:rsid w:val="00196F37"/>
    <w:rsid w:val="001972EA"/>
    <w:rsid w:val="00197BD7"/>
    <w:rsid w:val="00197D66"/>
    <w:rsid w:val="001A0DB5"/>
    <w:rsid w:val="001A14EF"/>
    <w:rsid w:val="001A179F"/>
    <w:rsid w:val="001A1C01"/>
    <w:rsid w:val="001A2420"/>
    <w:rsid w:val="001A52CA"/>
    <w:rsid w:val="001A59B0"/>
    <w:rsid w:val="001A5D66"/>
    <w:rsid w:val="001A79B6"/>
    <w:rsid w:val="001B041E"/>
    <w:rsid w:val="001B12B7"/>
    <w:rsid w:val="001B1FBD"/>
    <w:rsid w:val="001B3DB7"/>
    <w:rsid w:val="001C0B79"/>
    <w:rsid w:val="001C1584"/>
    <w:rsid w:val="001C2278"/>
    <w:rsid w:val="001C2CBF"/>
    <w:rsid w:val="001C49EE"/>
    <w:rsid w:val="001C4C6B"/>
    <w:rsid w:val="001C7CE0"/>
    <w:rsid w:val="001D2643"/>
    <w:rsid w:val="001D27F4"/>
    <w:rsid w:val="001D35F0"/>
    <w:rsid w:val="001D4197"/>
    <w:rsid w:val="001D4CDC"/>
    <w:rsid w:val="001D5DDA"/>
    <w:rsid w:val="001D7570"/>
    <w:rsid w:val="001D79FC"/>
    <w:rsid w:val="001E1642"/>
    <w:rsid w:val="001E17D6"/>
    <w:rsid w:val="001E4641"/>
    <w:rsid w:val="001E593C"/>
    <w:rsid w:val="001E678C"/>
    <w:rsid w:val="001E771B"/>
    <w:rsid w:val="001E791A"/>
    <w:rsid w:val="001F0C4A"/>
    <w:rsid w:val="001F321A"/>
    <w:rsid w:val="001F3F73"/>
    <w:rsid w:val="001F63F4"/>
    <w:rsid w:val="001F6700"/>
    <w:rsid w:val="001F76AA"/>
    <w:rsid w:val="001F7BD1"/>
    <w:rsid w:val="001F7FA1"/>
    <w:rsid w:val="002007C8"/>
    <w:rsid w:val="00203501"/>
    <w:rsid w:val="00204325"/>
    <w:rsid w:val="00204DF4"/>
    <w:rsid w:val="00205D11"/>
    <w:rsid w:val="002062E4"/>
    <w:rsid w:val="00211CE2"/>
    <w:rsid w:val="00212C8A"/>
    <w:rsid w:val="00213814"/>
    <w:rsid w:val="00213E87"/>
    <w:rsid w:val="002153FB"/>
    <w:rsid w:val="00215D09"/>
    <w:rsid w:val="002172AA"/>
    <w:rsid w:val="002174F5"/>
    <w:rsid w:val="002175FA"/>
    <w:rsid w:val="00220ED6"/>
    <w:rsid w:val="00223A82"/>
    <w:rsid w:val="00224A98"/>
    <w:rsid w:val="002253B2"/>
    <w:rsid w:val="00225B0B"/>
    <w:rsid w:val="00226837"/>
    <w:rsid w:val="00226E00"/>
    <w:rsid w:val="002272AC"/>
    <w:rsid w:val="00230DFB"/>
    <w:rsid w:val="0023190C"/>
    <w:rsid w:val="00231C7A"/>
    <w:rsid w:val="002323E7"/>
    <w:rsid w:val="00232429"/>
    <w:rsid w:val="00233B97"/>
    <w:rsid w:val="0023418A"/>
    <w:rsid w:val="0023457E"/>
    <w:rsid w:val="002346F7"/>
    <w:rsid w:val="00235395"/>
    <w:rsid w:val="002362B5"/>
    <w:rsid w:val="00240C8E"/>
    <w:rsid w:val="00241378"/>
    <w:rsid w:val="00242D3B"/>
    <w:rsid w:val="00242FB9"/>
    <w:rsid w:val="0024403B"/>
    <w:rsid w:val="00245564"/>
    <w:rsid w:val="00246135"/>
    <w:rsid w:val="00250175"/>
    <w:rsid w:val="00250C55"/>
    <w:rsid w:val="00252243"/>
    <w:rsid w:val="00252CAD"/>
    <w:rsid w:val="00253E49"/>
    <w:rsid w:val="00255CC0"/>
    <w:rsid w:val="002568A4"/>
    <w:rsid w:val="00257667"/>
    <w:rsid w:val="00257AB5"/>
    <w:rsid w:val="00260E59"/>
    <w:rsid w:val="002618F1"/>
    <w:rsid w:val="00262D26"/>
    <w:rsid w:val="002639EC"/>
    <w:rsid w:val="00264696"/>
    <w:rsid w:val="00264C7F"/>
    <w:rsid w:val="0026678B"/>
    <w:rsid w:val="002671D9"/>
    <w:rsid w:val="00272F4B"/>
    <w:rsid w:val="00273C60"/>
    <w:rsid w:val="00274E2A"/>
    <w:rsid w:val="00274E53"/>
    <w:rsid w:val="00275C23"/>
    <w:rsid w:val="0027790F"/>
    <w:rsid w:val="0028054F"/>
    <w:rsid w:val="00283495"/>
    <w:rsid w:val="002837AC"/>
    <w:rsid w:val="002839BE"/>
    <w:rsid w:val="0028505F"/>
    <w:rsid w:val="00287455"/>
    <w:rsid w:val="00287DE6"/>
    <w:rsid w:val="002906FF"/>
    <w:rsid w:val="00293126"/>
    <w:rsid w:val="00293E2D"/>
    <w:rsid w:val="00295AAB"/>
    <w:rsid w:val="00296A8A"/>
    <w:rsid w:val="002A0622"/>
    <w:rsid w:val="002A0F58"/>
    <w:rsid w:val="002A19AA"/>
    <w:rsid w:val="002A3869"/>
    <w:rsid w:val="002A3B8B"/>
    <w:rsid w:val="002A47CA"/>
    <w:rsid w:val="002A51D7"/>
    <w:rsid w:val="002A6060"/>
    <w:rsid w:val="002A6231"/>
    <w:rsid w:val="002A73DC"/>
    <w:rsid w:val="002B027A"/>
    <w:rsid w:val="002B1E27"/>
    <w:rsid w:val="002B21FB"/>
    <w:rsid w:val="002B4B8D"/>
    <w:rsid w:val="002B6763"/>
    <w:rsid w:val="002B7098"/>
    <w:rsid w:val="002B72B7"/>
    <w:rsid w:val="002B7A94"/>
    <w:rsid w:val="002C077A"/>
    <w:rsid w:val="002C3E7A"/>
    <w:rsid w:val="002C5D67"/>
    <w:rsid w:val="002C618E"/>
    <w:rsid w:val="002C728F"/>
    <w:rsid w:val="002D0198"/>
    <w:rsid w:val="002D2C2F"/>
    <w:rsid w:val="002D33FE"/>
    <w:rsid w:val="002D392B"/>
    <w:rsid w:val="002D4EE9"/>
    <w:rsid w:val="002D55C6"/>
    <w:rsid w:val="002D576D"/>
    <w:rsid w:val="002D5CA0"/>
    <w:rsid w:val="002D752F"/>
    <w:rsid w:val="002D7618"/>
    <w:rsid w:val="002D7734"/>
    <w:rsid w:val="002E1821"/>
    <w:rsid w:val="002E3165"/>
    <w:rsid w:val="002E3B37"/>
    <w:rsid w:val="002E453A"/>
    <w:rsid w:val="002E65A8"/>
    <w:rsid w:val="002E7360"/>
    <w:rsid w:val="002F0C2D"/>
    <w:rsid w:val="002F1533"/>
    <w:rsid w:val="002F5629"/>
    <w:rsid w:val="002F5667"/>
    <w:rsid w:val="002F7097"/>
    <w:rsid w:val="002F72DB"/>
    <w:rsid w:val="00300B08"/>
    <w:rsid w:val="003019A4"/>
    <w:rsid w:val="0030249B"/>
    <w:rsid w:val="003027E4"/>
    <w:rsid w:val="003040F5"/>
    <w:rsid w:val="0030532A"/>
    <w:rsid w:val="00305CBF"/>
    <w:rsid w:val="00306D02"/>
    <w:rsid w:val="00310175"/>
    <w:rsid w:val="00310CC8"/>
    <w:rsid w:val="00310D0E"/>
    <w:rsid w:val="00311A41"/>
    <w:rsid w:val="003122CA"/>
    <w:rsid w:val="00312DF1"/>
    <w:rsid w:val="003138EA"/>
    <w:rsid w:val="00313CFA"/>
    <w:rsid w:val="003153CC"/>
    <w:rsid w:val="00316B76"/>
    <w:rsid w:val="00316C7D"/>
    <w:rsid w:val="0031723D"/>
    <w:rsid w:val="0032271D"/>
    <w:rsid w:val="00324495"/>
    <w:rsid w:val="003244C4"/>
    <w:rsid w:val="003256D2"/>
    <w:rsid w:val="003275B7"/>
    <w:rsid w:val="003307B9"/>
    <w:rsid w:val="00331163"/>
    <w:rsid w:val="003322D4"/>
    <w:rsid w:val="00334F3A"/>
    <w:rsid w:val="00334F90"/>
    <w:rsid w:val="0033666D"/>
    <w:rsid w:val="00337200"/>
    <w:rsid w:val="00337FA4"/>
    <w:rsid w:val="0034086C"/>
    <w:rsid w:val="0034107D"/>
    <w:rsid w:val="003413A6"/>
    <w:rsid w:val="0034174D"/>
    <w:rsid w:val="00341899"/>
    <w:rsid w:val="00343432"/>
    <w:rsid w:val="00343A55"/>
    <w:rsid w:val="00344C09"/>
    <w:rsid w:val="00345865"/>
    <w:rsid w:val="00345FC4"/>
    <w:rsid w:val="003470F6"/>
    <w:rsid w:val="00350031"/>
    <w:rsid w:val="00350B7C"/>
    <w:rsid w:val="00351F60"/>
    <w:rsid w:val="00352818"/>
    <w:rsid w:val="00352864"/>
    <w:rsid w:val="00353F9E"/>
    <w:rsid w:val="00354103"/>
    <w:rsid w:val="003552FB"/>
    <w:rsid w:val="00355B4B"/>
    <w:rsid w:val="00355E1B"/>
    <w:rsid w:val="00356BEA"/>
    <w:rsid w:val="003579DD"/>
    <w:rsid w:val="00360619"/>
    <w:rsid w:val="003608B8"/>
    <w:rsid w:val="00360D69"/>
    <w:rsid w:val="00360FDA"/>
    <w:rsid w:val="00364A15"/>
    <w:rsid w:val="0036537A"/>
    <w:rsid w:val="00365CB0"/>
    <w:rsid w:val="00366E83"/>
    <w:rsid w:val="0036739E"/>
    <w:rsid w:val="00371610"/>
    <w:rsid w:val="00372217"/>
    <w:rsid w:val="00373492"/>
    <w:rsid w:val="003734DA"/>
    <w:rsid w:val="003748E8"/>
    <w:rsid w:val="00375A1D"/>
    <w:rsid w:val="00376053"/>
    <w:rsid w:val="00376C07"/>
    <w:rsid w:val="00376F31"/>
    <w:rsid w:val="003824D2"/>
    <w:rsid w:val="003828BC"/>
    <w:rsid w:val="003828E2"/>
    <w:rsid w:val="00382AFE"/>
    <w:rsid w:val="0038352B"/>
    <w:rsid w:val="00383CA6"/>
    <w:rsid w:val="00383D64"/>
    <w:rsid w:val="0038423A"/>
    <w:rsid w:val="0038512C"/>
    <w:rsid w:val="003869A9"/>
    <w:rsid w:val="003913BD"/>
    <w:rsid w:val="00392319"/>
    <w:rsid w:val="003940CD"/>
    <w:rsid w:val="00394FBC"/>
    <w:rsid w:val="003A1F2E"/>
    <w:rsid w:val="003A1F64"/>
    <w:rsid w:val="003A2DD9"/>
    <w:rsid w:val="003A34F1"/>
    <w:rsid w:val="003A47C2"/>
    <w:rsid w:val="003A4BCE"/>
    <w:rsid w:val="003A5D79"/>
    <w:rsid w:val="003A5EE6"/>
    <w:rsid w:val="003A7197"/>
    <w:rsid w:val="003B3E8E"/>
    <w:rsid w:val="003B4DF2"/>
    <w:rsid w:val="003B784B"/>
    <w:rsid w:val="003B7960"/>
    <w:rsid w:val="003B7CD0"/>
    <w:rsid w:val="003C06D2"/>
    <w:rsid w:val="003C1D21"/>
    <w:rsid w:val="003C1D2D"/>
    <w:rsid w:val="003C2ECC"/>
    <w:rsid w:val="003C39CF"/>
    <w:rsid w:val="003C49D3"/>
    <w:rsid w:val="003C6D2D"/>
    <w:rsid w:val="003C79D9"/>
    <w:rsid w:val="003C79FD"/>
    <w:rsid w:val="003D0183"/>
    <w:rsid w:val="003D0802"/>
    <w:rsid w:val="003D0E4C"/>
    <w:rsid w:val="003D1110"/>
    <w:rsid w:val="003D1963"/>
    <w:rsid w:val="003D2A55"/>
    <w:rsid w:val="003D2CB1"/>
    <w:rsid w:val="003D40A6"/>
    <w:rsid w:val="003D4345"/>
    <w:rsid w:val="003D5207"/>
    <w:rsid w:val="003D5346"/>
    <w:rsid w:val="003D69F7"/>
    <w:rsid w:val="003D6FB7"/>
    <w:rsid w:val="003D7C82"/>
    <w:rsid w:val="003E0818"/>
    <w:rsid w:val="003E26A2"/>
    <w:rsid w:val="003E3E22"/>
    <w:rsid w:val="003E42A2"/>
    <w:rsid w:val="003E4ED7"/>
    <w:rsid w:val="003E7274"/>
    <w:rsid w:val="003F096C"/>
    <w:rsid w:val="003F2677"/>
    <w:rsid w:val="003F56D6"/>
    <w:rsid w:val="003F6CB8"/>
    <w:rsid w:val="003F7D4B"/>
    <w:rsid w:val="004010D2"/>
    <w:rsid w:val="00401459"/>
    <w:rsid w:val="00402A53"/>
    <w:rsid w:val="004031AA"/>
    <w:rsid w:val="004056B1"/>
    <w:rsid w:val="004075D3"/>
    <w:rsid w:val="004106E3"/>
    <w:rsid w:val="0041159B"/>
    <w:rsid w:val="00411DD3"/>
    <w:rsid w:val="00412D8D"/>
    <w:rsid w:val="0041431E"/>
    <w:rsid w:val="00414538"/>
    <w:rsid w:val="004149D3"/>
    <w:rsid w:val="004160D3"/>
    <w:rsid w:val="00416E2C"/>
    <w:rsid w:val="00416FF9"/>
    <w:rsid w:val="00421866"/>
    <w:rsid w:val="00421AC2"/>
    <w:rsid w:val="00421CE8"/>
    <w:rsid w:val="00423714"/>
    <w:rsid w:val="0042392E"/>
    <w:rsid w:val="00423ECB"/>
    <w:rsid w:val="00424330"/>
    <w:rsid w:val="00425895"/>
    <w:rsid w:val="00425AED"/>
    <w:rsid w:val="004304BD"/>
    <w:rsid w:val="004312FB"/>
    <w:rsid w:val="004337E2"/>
    <w:rsid w:val="0043409A"/>
    <w:rsid w:val="0043442D"/>
    <w:rsid w:val="004345C9"/>
    <w:rsid w:val="004345FF"/>
    <w:rsid w:val="004346D5"/>
    <w:rsid w:val="00434D1F"/>
    <w:rsid w:val="004364C1"/>
    <w:rsid w:val="00436E8D"/>
    <w:rsid w:val="00440142"/>
    <w:rsid w:val="004405EA"/>
    <w:rsid w:val="004428A1"/>
    <w:rsid w:val="00445FBD"/>
    <w:rsid w:val="004464BC"/>
    <w:rsid w:val="004465B3"/>
    <w:rsid w:val="00446BAC"/>
    <w:rsid w:val="00447B85"/>
    <w:rsid w:val="00447E4F"/>
    <w:rsid w:val="00452006"/>
    <w:rsid w:val="004529AA"/>
    <w:rsid w:val="00452C21"/>
    <w:rsid w:val="00453333"/>
    <w:rsid w:val="00453396"/>
    <w:rsid w:val="00454255"/>
    <w:rsid w:val="00455948"/>
    <w:rsid w:val="00456345"/>
    <w:rsid w:val="00456E03"/>
    <w:rsid w:val="004573B2"/>
    <w:rsid w:val="004579AF"/>
    <w:rsid w:val="00457B29"/>
    <w:rsid w:val="00457F68"/>
    <w:rsid w:val="00457FF1"/>
    <w:rsid w:val="00461397"/>
    <w:rsid w:val="00461E05"/>
    <w:rsid w:val="004622AB"/>
    <w:rsid w:val="00462BD7"/>
    <w:rsid w:val="00464181"/>
    <w:rsid w:val="00464988"/>
    <w:rsid w:val="00466933"/>
    <w:rsid w:val="004678F9"/>
    <w:rsid w:val="00472239"/>
    <w:rsid w:val="00473C9C"/>
    <w:rsid w:val="0047405A"/>
    <w:rsid w:val="00475C7A"/>
    <w:rsid w:val="004769F7"/>
    <w:rsid w:val="00476DB8"/>
    <w:rsid w:val="00477541"/>
    <w:rsid w:val="0047760E"/>
    <w:rsid w:val="00480CF3"/>
    <w:rsid w:val="00481074"/>
    <w:rsid w:val="004824CA"/>
    <w:rsid w:val="004824EE"/>
    <w:rsid w:val="0048348B"/>
    <w:rsid w:val="004861CD"/>
    <w:rsid w:val="004861DD"/>
    <w:rsid w:val="004867F3"/>
    <w:rsid w:val="004908C8"/>
    <w:rsid w:val="00490AB7"/>
    <w:rsid w:val="00490C40"/>
    <w:rsid w:val="00490F05"/>
    <w:rsid w:val="0049151E"/>
    <w:rsid w:val="00491A6F"/>
    <w:rsid w:val="00491FDF"/>
    <w:rsid w:val="0049223D"/>
    <w:rsid w:val="0049362F"/>
    <w:rsid w:val="0049435D"/>
    <w:rsid w:val="00494B0C"/>
    <w:rsid w:val="00494C2C"/>
    <w:rsid w:val="00495C89"/>
    <w:rsid w:val="00495E5D"/>
    <w:rsid w:val="00496922"/>
    <w:rsid w:val="004A0CB3"/>
    <w:rsid w:val="004A2100"/>
    <w:rsid w:val="004A5DD9"/>
    <w:rsid w:val="004A7A0D"/>
    <w:rsid w:val="004B1658"/>
    <w:rsid w:val="004B1EB5"/>
    <w:rsid w:val="004B3031"/>
    <w:rsid w:val="004B32D2"/>
    <w:rsid w:val="004B3923"/>
    <w:rsid w:val="004B4403"/>
    <w:rsid w:val="004B4A17"/>
    <w:rsid w:val="004B4DB6"/>
    <w:rsid w:val="004B5D2B"/>
    <w:rsid w:val="004B688E"/>
    <w:rsid w:val="004B7FD3"/>
    <w:rsid w:val="004C0C97"/>
    <w:rsid w:val="004C2D12"/>
    <w:rsid w:val="004C3D97"/>
    <w:rsid w:val="004C5455"/>
    <w:rsid w:val="004C54F7"/>
    <w:rsid w:val="004C65DE"/>
    <w:rsid w:val="004D22EC"/>
    <w:rsid w:val="004D2820"/>
    <w:rsid w:val="004D3B2F"/>
    <w:rsid w:val="004D3C13"/>
    <w:rsid w:val="004D3D11"/>
    <w:rsid w:val="004D474A"/>
    <w:rsid w:val="004D4A13"/>
    <w:rsid w:val="004D6A6E"/>
    <w:rsid w:val="004D6B06"/>
    <w:rsid w:val="004D6C64"/>
    <w:rsid w:val="004D7369"/>
    <w:rsid w:val="004E200D"/>
    <w:rsid w:val="004E23E6"/>
    <w:rsid w:val="004E358A"/>
    <w:rsid w:val="004E4087"/>
    <w:rsid w:val="004E6129"/>
    <w:rsid w:val="004E7AEA"/>
    <w:rsid w:val="004F06D2"/>
    <w:rsid w:val="004F0B4B"/>
    <w:rsid w:val="004F1180"/>
    <w:rsid w:val="004F1C6F"/>
    <w:rsid w:val="004F2942"/>
    <w:rsid w:val="004F3E20"/>
    <w:rsid w:val="004F4035"/>
    <w:rsid w:val="004F47CE"/>
    <w:rsid w:val="004F4FE3"/>
    <w:rsid w:val="004F5049"/>
    <w:rsid w:val="004F51DA"/>
    <w:rsid w:val="004F5E05"/>
    <w:rsid w:val="004F60E2"/>
    <w:rsid w:val="004F6B65"/>
    <w:rsid w:val="004F7D94"/>
    <w:rsid w:val="005006C3"/>
    <w:rsid w:val="00500EC8"/>
    <w:rsid w:val="0050131C"/>
    <w:rsid w:val="005029D0"/>
    <w:rsid w:val="005036A9"/>
    <w:rsid w:val="00503FC5"/>
    <w:rsid w:val="0051070A"/>
    <w:rsid w:val="00511C0D"/>
    <w:rsid w:val="00512C5A"/>
    <w:rsid w:val="005130DC"/>
    <w:rsid w:val="00516B6C"/>
    <w:rsid w:val="005171F3"/>
    <w:rsid w:val="005200B8"/>
    <w:rsid w:val="00520AF3"/>
    <w:rsid w:val="00520CCF"/>
    <w:rsid w:val="00521969"/>
    <w:rsid w:val="00522B3D"/>
    <w:rsid w:val="00522FDD"/>
    <w:rsid w:val="005247C8"/>
    <w:rsid w:val="00524CED"/>
    <w:rsid w:val="00525946"/>
    <w:rsid w:val="0053223E"/>
    <w:rsid w:val="00532EF3"/>
    <w:rsid w:val="005332AB"/>
    <w:rsid w:val="00533EF4"/>
    <w:rsid w:val="00535547"/>
    <w:rsid w:val="00535905"/>
    <w:rsid w:val="005359B5"/>
    <w:rsid w:val="005361E9"/>
    <w:rsid w:val="0053640E"/>
    <w:rsid w:val="00536D4E"/>
    <w:rsid w:val="00541CBA"/>
    <w:rsid w:val="00543C57"/>
    <w:rsid w:val="00543EE0"/>
    <w:rsid w:val="005456A6"/>
    <w:rsid w:val="00547640"/>
    <w:rsid w:val="005476E8"/>
    <w:rsid w:val="00551283"/>
    <w:rsid w:val="005513EC"/>
    <w:rsid w:val="00553707"/>
    <w:rsid w:val="00555EBE"/>
    <w:rsid w:val="005561D1"/>
    <w:rsid w:val="00557CC2"/>
    <w:rsid w:val="00557D75"/>
    <w:rsid w:val="005611E5"/>
    <w:rsid w:val="0056150D"/>
    <w:rsid w:val="0056268E"/>
    <w:rsid w:val="00562FA9"/>
    <w:rsid w:val="00562FBB"/>
    <w:rsid w:val="00563043"/>
    <w:rsid w:val="00564A6C"/>
    <w:rsid w:val="00564F94"/>
    <w:rsid w:val="00565214"/>
    <w:rsid w:val="0056621A"/>
    <w:rsid w:val="005679EA"/>
    <w:rsid w:val="005717F6"/>
    <w:rsid w:val="00571E78"/>
    <w:rsid w:val="00571F72"/>
    <w:rsid w:val="00573758"/>
    <w:rsid w:val="00573CFE"/>
    <w:rsid w:val="00574613"/>
    <w:rsid w:val="00574847"/>
    <w:rsid w:val="005757F5"/>
    <w:rsid w:val="00575C25"/>
    <w:rsid w:val="0057750A"/>
    <w:rsid w:val="0057753D"/>
    <w:rsid w:val="00581251"/>
    <w:rsid w:val="00581C51"/>
    <w:rsid w:val="00581C9D"/>
    <w:rsid w:val="005824A7"/>
    <w:rsid w:val="00582F56"/>
    <w:rsid w:val="00583226"/>
    <w:rsid w:val="00583966"/>
    <w:rsid w:val="00583968"/>
    <w:rsid w:val="00584F2F"/>
    <w:rsid w:val="00586676"/>
    <w:rsid w:val="00587157"/>
    <w:rsid w:val="005873FD"/>
    <w:rsid w:val="00587553"/>
    <w:rsid w:val="00590B80"/>
    <w:rsid w:val="0059211F"/>
    <w:rsid w:val="00592B61"/>
    <w:rsid w:val="00592D1C"/>
    <w:rsid w:val="00593392"/>
    <w:rsid w:val="00594BB7"/>
    <w:rsid w:val="005954F5"/>
    <w:rsid w:val="00595F69"/>
    <w:rsid w:val="00596A38"/>
    <w:rsid w:val="005973A9"/>
    <w:rsid w:val="00597657"/>
    <w:rsid w:val="00597C9B"/>
    <w:rsid w:val="00597D00"/>
    <w:rsid w:val="005A05AF"/>
    <w:rsid w:val="005A1866"/>
    <w:rsid w:val="005A2234"/>
    <w:rsid w:val="005A54CA"/>
    <w:rsid w:val="005A7ED8"/>
    <w:rsid w:val="005B1667"/>
    <w:rsid w:val="005B2895"/>
    <w:rsid w:val="005B2F38"/>
    <w:rsid w:val="005B4092"/>
    <w:rsid w:val="005B4252"/>
    <w:rsid w:val="005B528A"/>
    <w:rsid w:val="005B5CA3"/>
    <w:rsid w:val="005B62CC"/>
    <w:rsid w:val="005B6A49"/>
    <w:rsid w:val="005B70A5"/>
    <w:rsid w:val="005B76FE"/>
    <w:rsid w:val="005B7A76"/>
    <w:rsid w:val="005C31BE"/>
    <w:rsid w:val="005C33C3"/>
    <w:rsid w:val="005C3BA4"/>
    <w:rsid w:val="005C3D60"/>
    <w:rsid w:val="005C4F1E"/>
    <w:rsid w:val="005C5879"/>
    <w:rsid w:val="005C5CA5"/>
    <w:rsid w:val="005C62AF"/>
    <w:rsid w:val="005C7345"/>
    <w:rsid w:val="005C7735"/>
    <w:rsid w:val="005D1536"/>
    <w:rsid w:val="005D1ACE"/>
    <w:rsid w:val="005D275A"/>
    <w:rsid w:val="005D4F70"/>
    <w:rsid w:val="005D5AAC"/>
    <w:rsid w:val="005D6359"/>
    <w:rsid w:val="005E0168"/>
    <w:rsid w:val="005E0181"/>
    <w:rsid w:val="005E1984"/>
    <w:rsid w:val="005E20D7"/>
    <w:rsid w:val="005E223C"/>
    <w:rsid w:val="005E7678"/>
    <w:rsid w:val="005F0464"/>
    <w:rsid w:val="005F1824"/>
    <w:rsid w:val="005F183F"/>
    <w:rsid w:val="005F1A3B"/>
    <w:rsid w:val="005F2CFC"/>
    <w:rsid w:val="005F46C5"/>
    <w:rsid w:val="005F48EC"/>
    <w:rsid w:val="005F5480"/>
    <w:rsid w:val="005F5918"/>
    <w:rsid w:val="005F6202"/>
    <w:rsid w:val="005F620C"/>
    <w:rsid w:val="005F6BEA"/>
    <w:rsid w:val="00600406"/>
    <w:rsid w:val="00600551"/>
    <w:rsid w:val="00600994"/>
    <w:rsid w:val="0060300D"/>
    <w:rsid w:val="006033B5"/>
    <w:rsid w:val="0060403E"/>
    <w:rsid w:val="00604CFA"/>
    <w:rsid w:val="0060649A"/>
    <w:rsid w:val="006070AC"/>
    <w:rsid w:val="006110DE"/>
    <w:rsid w:val="0061154C"/>
    <w:rsid w:val="00611BB9"/>
    <w:rsid w:val="00612371"/>
    <w:rsid w:val="00612CAB"/>
    <w:rsid w:val="00613179"/>
    <w:rsid w:val="006132DA"/>
    <w:rsid w:val="00613821"/>
    <w:rsid w:val="00613F38"/>
    <w:rsid w:val="0061529F"/>
    <w:rsid w:val="00615932"/>
    <w:rsid w:val="00617451"/>
    <w:rsid w:val="00617568"/>
    <w:rsid w:val="0062076A"/>
    <w:rsid w:val="00621337"/>
    <w:rsid w:val="00621869"/>
    <w:rsid w:val="00624C20"/>
    <w:rsid w:val="00625838"/>
    <w:rsid w:val="00626028"/>
    <w:rsid w:val="006276A6"/>
    <w:rsid w:val="0063530F"/>
    <w:rsid w:val="006373A5"/>
    <w:rsid w:val="006378C4"/>
    <w:rsid w:val="00642D82"/>
    <w:rsid w:val="006436D3"/>
    <w:rsid w:val="0064399D"/>
    <w:rsid w:val="00644771"/>
    <w:rsid w:val="006449B0"/>
    <w:rsid w:val="0064559B"/>
    <w:rsid w:val="0064754F"/>
    <w:rsid w:val="006476C4"/>
    <w:rsid w:val="00647F73"/>
    <w:rsid w:val="00651CD6"/>
    <w:rsid w:val="00652ACD"/>
    <w:rsid w:val="006542BF"/>
    <w:rsid w:val="00654D2E"/>
    <w:rsid w:val="006561B8"/>
    <w:rsid w:val="00657F22"/>
    <w:rsid w:val="006617A5"/>
    <w:rsid w:val="00662942"/>
    <w:rsid w:val="00662B36"/>
    <w:rsid w:val="00664771"/>
    <w:rsid w:val="00665A3B"/>
    <w:rsid w:val="00665F4F"/>
    <w:rsid w:val="006666DF"/>
    <w:rsid w:val="00667EA6"/>
    <w:rsid w:val="0067005B"/>
    <w:rsid w:val="006717A5"/>
    <w:rsid w:val="00671CDD"/>
    <w:rsid w:val="00672D26"/>
    <w:rsid w:val="00674C2C"/>
    <w:rsid w:val="00675F7C"/>
    <w:rsid w:val="00676C9C"/>
    <w:rsid w:val="00677B21"/>
    <w:rsid w:val="006817C2"/>
    <w:rsid w:val="00681D28"/>
    <w:rsid w:val="00682410"/>
    <w:rsid w:val="0068265D"/>
    <w:rsid w:val="00685323"/>
    <w:rsid w:val="006855C8"/>
    <w:rsid w:val="00686433"/>
    <w:rsid w:val="00687338"/>
    <w:rsid w:val="006877BC"/>
    <w:rsid w:val="0069035E"/>
    <w:rsid w:val="00690B07"/>
    <w:rsid w:val="00690E91"/>
    <w:rsid w:val="00691695"/>
    <w:rsid w:val="0069362F"/>
    <w:rsid w:val="00693CF3"/>
    <w:rsid w:val="00696365"/>
    <w:rsid w:val="00696B84"/>
    <w:rsid w:val="006A0C34"/>
    <w:rsid w:val="006A0DF4"/>
    <w:rsid w:val="006A1A8A"/>
    <w:rsid w:val="006A1D13"/>
    <w:rsid w:val="006A3D88"/>
    <w:rsid w:val="006A4217"/>
    <w:rsid w:val="006A5E5D"/>
    <w:rsid w:val="006A6856"/>
    <w:rsid w:val="006A762C"/>
    <w:rsid w:val="006A7C93"/>
    <w:rsid w:val="006A7EDB"/>
    <w:rsid w:val="006B0F88"/>
    <w:rsid w:val="006B1C7E"/>
    <w:rsid w:val="006B1EF5"/>
    <w:rsid w:val="006B21FB"/>
    <w:rsid w:val="006B308E"/>
    <w:rsid w:val="006B54C9"/>
    <w:rsid w:val="006B566E"/>
    <w:rsid w:val="006C01B5"/>
    <w:rsid w:val="006C093F"/>
    <w:rsid w:val="006C19A2"/>
    <w:rsid w:val="006C2964"/>
    <w:rsid w:val="006C2D5C"/>
    <w:rsid w:val="006C3B72"/>
    <w:rsid w:val="006C415E"/>
    <w:rsid w:val="006C491D"/>
    <w:rsid w:val="006C5986"/>
    <w:rsid w:val="006C6534"/>
    <w:rsid w:val="006C7870"/>
    <w:rsid w:val="006C78A7"/>
    <w:rsid w:val="006D0787"/>
    <w:rsid w:val="006D1E2E"/>
    <w:rsid w:val="006D4E81"/>
    <w:rsid w:val="006D5374"/>
    <w:rsid w:val="006D6DE1"/>
    <w:rsid w:val="006E0739"/>
    <w:rsid w:val="006E380E"/>
    <w:rsid w:val="006E40BA"/>
    <w:rsid w:val="006E58CB"/>
    <w:rsid w:val="006E6844"/>
    <w:rsid w:val="006E69E9"/>
    <w:rsid w:val="006E6EA9"/>
    <w:rsid w:val="006E7D22"/>
    <w:rsid w:val="006F0B8A"/>
    <w:rsid w:val="006F10AA"/>
    <w:rsid w:val="006F1642"/>
    <w:rsid w:val="006F3F25"/>
    <w:rsid w:val="006F439F"/>
    <w:rsid w:val="006F5708"/>
    <w:rsid w:val="00700DF2"/>
    <w:rsid w:val="007015B3"/>
    <w:rsid w:val="00701D58"/>
    <w:rsid w:val="0070366D"/>
    <w:rsid w:val="0070796F"/>
    <w:rsid w:val="00707980"/>
    <w:rsid w:val="00707AA1"/>
    <w:rsid w:val="00707CE0"/>
    <w:rsid w:val="00711E19"/>
    <w:rsid w:val="0071364E"/>
    <w:rsid w:val="00713DFC"/>
    <w:rsid w:val="00715200"/>
    <w:rsid w:val="00715287"/>
    <w:rsid w:val="007165A4"/>
    <w:rsid w:val="00716953"/>
    <w:rsid w:val="00717874"/>
    <w:rsid w:val="00721CA1"/>
    <w:rsid w:val="007234FA"/>
    <w:rsid w:val="00723D43"/>
    <w:rsid w:val="00724204"/>
    <w:rsid w:val="00724F8B"/>
    <w:rsid w:val="00725F70"/>
    <w:rsid w:val="007260CA"/>
    <w:rsid w:val="00726DC1"/>
    <w:rsid w:val="007300EB"/>
    <w:rsid w:val="007304D7"/>
    <w:rsid w:val="00731665"/>
    <w:rsid w:val="007323C6"/>
    <w:rsid w:val="007346F1"/>
    <w:rsid w:val="00736A2C"/>
    <w:rsid w:val="00737799"/>
    <w:rsid w:val="007411F5"/>
    <w:rsid w:val="00743544"/>
    <w:rsid w:val="007438D2"/>
    <w:rsid w:val="00745736"/>
    <w:rsid w:val="0074763E"/>
    <w:rsid w:val="007476EC"/>
    <w:rsid w:val="00747BF5"/>
    <w:rsid w:val="00747FA6"/>
    <w:rsid w:val="0075002C"/>
    <w:rsid w:val="0075089F"/>
    <w:rsid w:val="00751215"/>
    <w:rsid w:val="00753A55"/>
    <w:rsid w:val="007544F7"/>
    <w:rsid w:val="00754C42"/>
    <w:rsid w:val="00757993"/>
    <w:rsid w:val="007600C5"/>
    <w:rsid w:val="0076060A"/>
    <w:rsid w:val="007607D1"/>
    <w:rsid w:val="00760D57"/>
    <w:rsid w:val="0076360D"/>
    <w:rsid w:val="00763E40"/>
    <w:rsid w:val="00765435"/>
    <w:rsid w:val="007665D9"/>
    <w:rsid w:val="00773914"/>
    <w:rsid w:val="00773B52"/>
    <w:rsid w:val="00780438"/>
    <w:rsid w:val="0078424E"/>
    <w:rsid w:val="00784863"/>
    <w:rsid w:val="007850CF"/>
    <w:rsid w:val="00786076"/>
    <w:rsid w:val="007878AF"/>
    <w:rsid w:val="00791CFF"/>
    <w:rsid w:val="00791F71"/>
    <w:rsid w:val="00792BBB"/>
    <w:rsid w:val="00793BFB"/>
    <w:rsid w:val="0079462E"/>
    <w:rsid w:val="00797653"/>
    <w:rsid w:val="007978DF"/>
    <w:rsid w:val="007A1600"/>
    <w:rsid w:val="007A2CC9"/>
    <w:rsid w:val="007A349C"/>
    <w:rsid w:val="007A3525"/>
    <w:rsid w:val="007A39D9"/>
    <w:rsid w:val="007A486E"/>
    <w:rsid w:val="007A6030"/>
    <w:rsid w:val="007A6313"/>
    <w:rsid w:val="007A7A59"/>
    <w:rsid w:val="007A7DA6"/>
    <w:rsid w:val="007A7E20"/>
    <w:rsid w:val="007B082C"/>
    <w:rsid w:val="007B0C74"/>
    <w:rsid w:val="007B1AC6"/>
    <w:rsid w:val="007B1BE2"/>
    <w:rsid w:val="007B3D26"/>
    <w:rsid w:val="007B4F32"/>
    <w:rsid w:val="007B52BF"/>
    <w:rsid w:val="007B5832"/>
    <w:rsid w:val="007B7893"/>
    <w:rsid w:val="007C042A"/>
    <w:rsid w:val="007C1AEC"/>
    <w:rsid w:val="007C1E0D"/>
    <w:rsid w:val="007C2376"/>
    <w:rsid w:val="007C2BC0"/>
    <w:rsid w:val="007C2BDA"/>
    <w:rsid w:val="007C2BEE"/>
    <w:rsid w:val="007C3706"/>
    <w:rsid w:val="007C3D76"/>
    <w:rsid w:val="007C67BF"/>
    <w:rsid w:val="007C6EBF"/>
    <w:rsid w:val="007D2479"/>
    <w:rsid w:val="007D2ECD"/>
    <w:rsid w:val="007D302E"/>
    <w:rsid w:val="007D3ED8"/>
    <w:rsid w:val="007D42F3"/>
    <w:rsid w:val="007D6081"/>
    <w:rsid w:val="007D61E3"/>
    <w:rsid w:val="007D7C33"/>
    <w:rsid w:val="007E0CF5"/>
    <w:rsid w:val="007E0EA1"/>
    <w:rsid w:val="007E3147"/>
    <w:rsid w:val="007E42BE"/>
    <w:rsid w:val="007E4581"/>
    <w:rsid w:val="007E4F92"/>
    <w:rsid w:val="007E69A5"/>
    <w:rsid w:val="007E77C5"/>
    <w:rsid w:val="007E7D71"/>
    <w:rsid w:val="007E7E9D"/>
    <w:rsid w:val="007F10A5"/>
    <w:rsid w:val="007F53AD"/>
    <w:rsid w:val="007F57C1"/>
    <w:rsid w:val="007F73E8"/>
    <w:rsid w:val="007F7C3C"/>
    <w:rsid w:val="007F7DE3"/>
    <w:rsid w:val="00800605"/>
    <w:rsid w:val="00803F3B"/>
    <w:rsid w:val="008044D9"/>
    <w:rsid w:val="008060AD"/>
    <w:rsid w:val="00810396"/>
    <w:rsid w:val="00810B10"/>
    <w:rsid w:val="00811DBE"/>
    <w:rsid w:val="0081234E"/>
    <w:rsid w:val="00812F9C"/>
    <w:rsid w:val="00815479"/>
    <w:rsid w:val="008157D4"/>
    <w:rsid w:val="0081592C"/>
    <w:rsid w:val="008174B3"/>
    <w:rsid w:val="00817876"/>
    <w:rsid w:val="008219CE"/>
    <w:rsid w:val="00821A9F"/>
    <w:rsid w:val="0082209A"/>
    <w:rsid w:val="00824DA0"/>
    <w:rsid w:val="00824DE0"/>
    <w:rsid w:val="0082541F"/>
    <w:rsid w:val="00830345"/>
    <w:rsid w:val="008304AE"/>
    <w:rsid w:val="00832FCF"/>
    <w:rsid w:val="008331DB"/>
    <w:rsid w:val="0083390D"/>
    <w:rsid w:val="008339B0"/>
    <w:rsid w:val="00834748"/>
    <w:rsid w:val="008375FD"/>
    <w:rsid w:val="008416AD"/>
    <w:rsid w:val="00841FA1"/>
    <w:rsid w:val="00843218"/>
    <w:rsid w:val="008432C0"/>
    <w:rsid w:val="00844AB5"/>
    <w:rsid w:val="00844EBB"/>
    <w:rsid w:val="008459AA"/>
    <w:rsid w:val="00845A63"/>
    <w:rsid w:val="00846FB2"/>
    <w:rsid w:val="0084723F"/>
    <w:rsid w:val="00851254"/>
    <w:rsid w:val="00851B86"/>
    <w:rsid w:val="0085494C"/>
    <w:rsid w:val="00855168"/>
    <w:rsid w:val="00855197"/>
    <w:rsid w:val="00857711"/>
    <w:rsid w:val="0086134D"/>
    <w:rsid w:val="00861602"/>
    <w:rsid w:val="00864412"/>
    <w:rsid w:val="0086639E"/>
    <w:rsid w:val="00867390"/>
    <w:rsid w:val="00867F3D"/>
    <w:rsid w:val="00870B31"/>
    <w:rsid w:val="00872BC3"/>
    <w:rsid w:val="00872C51"/>
    <w:rsid w:val="00872C9D"/>
    <w:rsid w:val="00872D2D"/>
    <w:rsid w:val="00873A9F"/>
    <w:rsid w:val="0087432A"/>
    <w:rsid w:val="00875C33"/>
    <w:rsid w:val="00876195"/>
    <w:rsid w:val="00877862"/>
    <w:rsid w:val="008779C1"/>
    <w:rsid w:val="00877F80"/>
    <w:rsid w:val="00880640"/>
    <w:rsid w:val="008814CC"/>
    <w:rsid w:val="008817F8"/>
    <w:rsid w:val="00884390"/>
    <w:rsid w:val="008859DC"/>
    <w:rsid w:val="0088682F"/>
    <w:rsid w:val="00887132"/>
    <w:rsid w:val="00891FF6"/>
    <w:rsid w:val="0089379D"/>
    <w:rsid w:val="00893857"/>
    <w:rsid w:val="00894F07"/>
    <w:rsid w:val="00895F9C"/>
    <w:rsid w:val="008963B6"/>
    <w:rsid w:val="00896CF8"/>
    <w:rsid w:val="008A178A"/>
    <w:rsid w:val="008A506D"/>
    <w:rsid w:val="008A547B"/>
    <w:rsid w:val="008A5C8D"/>
    <w:rsid w:val="008A6040"/>
    <w:rsid w:val="008A61E6"/>
    <w:rsid w:val="008A6C06"/>
    <w:rsid w:val="008A728B"/>
    <w:rsid w:val="008B4A88"/>
    <w:rsid w:val="008B61AD"/>
    <w:rsid w:val="008B6E57"/>
    <w:rsid w:val="008B7808"/>
    <w:rsid w:val="008B79F6"/>
    <w:rsid w:val="008C030D"/>
    <w:rsid w:val="008C0DE4"/>
    <w:rsid w:val="008C0EA6"/>
    <w:rsid w:val="008C33BF"/>
    <w:rsid w:val="008C36DE"/>
    <w:rsid w:val="008C377F"/>
    <w:rsid w:val="008C4D01"/>
    <w:rsid w:val="008C5F50"/>
    <w:rsid w:val="008C6505"/>
    <w:rsid w:val="008C66F1"/>
    <w:rsid w:val="008D2E22"/>
    <w:rsid w:val="008D3CD2"/>
    <w:rsid w:val="008D3D64"/>
    <w:rsid w:val="008D3F76"/>
    <w:rsid w:val="008D4ABD"/>
    <w:rsid w:val="008D4F3E"/>
    <w:rsid w:val="008D61C1"/>
    <w:rsid w:val="008D7464"/>
    <w:rsid w:val="008D7B22"/>
    <w:rsid w:val="008E019C"/>
    <w:rsid w:val="008E0322"/>
    <w:rsid w:val="008E0389"/>
    <w:rsid w:val="008E1EF8"/>
    <w:rsid w:val="008E2CCC"/>
    <w:rsid w:val="008E33D4"/>
    <w:rsid w:val="008E39A2"/>
    <w:rsid w:val="008E422C"/>
    <w:rsid w:val="008E70AA"/>
    <w:rsid w:val="008E7836"/>
    <w:rsid w:val="008F454D"/>
    <w:rsid w:val="008F587D"/>
    <w:rsid w:val="008F5D0D"/>
    <w:rsid w:val="008F612F"/>
    <w:rsid w:val="008F6CE9"/>
    <w:rsid w:val="0090020F"/>
    <w:rsid w:val="00900619"/>
    <w:rsid w:val="009006C1"/>
    <w:rsid w:val="00900E5F"/>
    <w:rsid w:val="00904870"/>
    <w:rsid w:val="00905783"/>
    <w:rsid w:val="00906553"/>
    <w:rsid w:val="009068E1"/>
    <w:rsid w:val="009069F1"/>
    <w:rsid w:val="009076FD"/>
    <w:rsid w:val="009130F6"/>
    <w:rsid w:val="009135A7"/>
    <w:rsid w:val="00913600"/>
    <w:rsid w:val="00914469"/>
    <w:rsid w:val="00915CD2"/>
    <w:rsid w:val="00916999"/>
    <w:rsid w:val="00917BC7"/>
    <w:rsid w:val="00917F68"/>
    <w:rsid w:val="009225D1"/>
    <w:rsid w:val="00922A20"/>
    <w:rsid w:val="00923366"/>
    <w:rsid w:val="00924364"/>
    <w:rsid w:val="009273AA"/>
    <w:rsid w:val="009331C9"/>
    <w:rsid w:val="00933244"/>
    <w:rsid w:val="009333B4"/>
    <w:rsid w:val="00933554"/>
    <w:rsid w:val="00933597"/>
    <w:rsid w:val="0093622E"/>
    <w:rsid w:val="0093648C"/>
    <w:rsid w:val="0093692E"/>
    <w:rsid w:val="009378B8"/>
    <w:rsid w:val="00937D03"/>
    <w:rsid w:val="00937FED"/>
    <w:rsid w:val="0094044B"/>
    <w:rsid w:val="00944605"/>
    <w:rsid w:val="00945A23"/>
    <w:rsid w:val="00945B27"/>
    <w:rsid w:val="00945F06"/>
    <w:rsid w:val="009507D2"/>
    <w:rsid w:val="0095132C"/>
    <w:rsid w:val="00951B12"/>
    <w:rsid w:val="00952912"/>
    <w:rsid w:val="00955F5C"/>
    <w:rsid w:val="00956A65"/>
    <w:rsid w:val="009572A5"/>
    <w:rsid w:val="00957A73"/>
    <w:rsid w:val="0096000E"/>
    <w:rsid w:val="0096035C"/>
    <w:rsid w:val="00961165"/>
    <w:rsid w:val="009612A5"/>
    <w:rsid w:val="0096321A"/>
    <w:rsid w:val="00963311"/>
    <w:rsid w:val="00966D6F"/>
    <w:rsid w:val="00971A14"/>
    <w:rsid w:val="00973655"/>
    <w:rsid w:val="009745EC"/>
    <w:rsid w:val="009746D1"/>
    <w:rsid w:val="009758EA"/>
    <w:rsid w:val="00976441"/>
    <w:rsid w:val="009764B2"/>
    <w:rsid w:val="0097659C"/>
    <w:rsid w:val="00977779"/>
    <w:rsid w:val="009841A4"/>
    <w:rsid w:val="00984D9E"/>
    <w:rsid w:val="00990F88"/>
    <w:rsid w:val="009915A1"/>
    <w:rsid w:val="00991ADE"/>
    <w:rsid w:val="0099333F"/>
    <w:rsid w:val="00993AF5"/>
    <w:rsid w:val="009960C6"/>
    <w:rsid w:val="009966F9"/>
    <w:rsid w:val="009A17E9"/>
    <w:rsid w:val="009A1E47"/>
    <w:rsid w:val="009A2C2A"/>
    <w:rsid w:val="009A3480"/>
    <w:rsid w:val="009A3D42"/>
    <w:rsid w:val="009A3DE8"/>
    <w:rsid w:val="009A60DE"/>
    <w:rsid w:val="009A7063"/>
    <w:rsid w:val="009A71DA"/>
    <w:rsid w:val="009A749D"/>
    <w:rsid w:val="009A78D0"/>
    <w:rsid w:val="009B0B4F"/>
    <w:rsid w:val="009B0DB5"/>
    <w:rsid w:val="009B13E1"/>
    <w:rsid w:val="009B3EFD"/>
    <w:rsid w:val="009B7E7C"/>
    <w:rsid w:val="009C0B7D"/>
    <w:rsid w:val="009C2768"/>
    <w:rsid w:val="009C5E2E"/>
    <w:rsid w:val="009C5F3D"/>
    <w:rsid w:val="009C690F"/>
    <w:rsid w:val="009C6F87"/>
    <w:rsid w:val="009C72A2"/>
    <w:rsid w:val="009C7866"/>
    <w:rsid w:val="009D0668"/>
    <w:rsid w:val="009D18D0"/>
    <w:rsid w:val="009D2EC7"/>
    <w:rsid w:val="009D3A82"/>
    <w:rsid w:val="009D3AA0"/>
    <w:rsid w:val="009D3B00"/>
    <w:rsid w:val="009D4A98"/>
    <w:rsid w:val="009D5DA4"/>
    <w:rsid w:val="009D6893"/>
    <w:rsid w:val="009D71FA"/>
    <w:rsid w:val="009D7881"/>
    <w:rsid w:val="009E03CC"/>
    <w:rsid w:val="009E06C2"/>
    <w:rsid w:val="009E0F85"/>
    <w:rsid w:val="009E1AF1"/>
    <w:rsid w:val="009E1E9C"/>
    <w:rsid w:val="009E26B8"/>
    <w:rsid w:val="009E5178"/>
    <w:rsid w:val="009E6119"/>
    <w:rsid w:val="009F03EF"/>
    <w:rsid w:val="009F0892"/>
    <w:rsid w:val="009F1011"/>
    <w:rsid w:val="009F1B46"/>
    <w:rsid w:val="009F3071"/>
    <w:rsid w:val="009F35CB"/>
    <w:rsid w:val="009F4D9F"/>
    <w:rsid w:val="00A00651"/>
    <w:rsid w:val="00A01FE8"/>
    <w:rsid w:val="00A02304"/>
    <w:rsid w:val="00A02AAB"/>
    <w:rsid w:val="00A05ECA"/>
    <w:rsid w:val="00A06716"/>
    <w:rsid w:val="00A07A40"/>
    <w:rsid w:val="00A11381"/>
    <w:rsid w:val="00A113F4"/>
    <w:rsid w:val="00A12E55"/>
    <w:rsid w:val="00A13DD7"/>
    <w:rsid w:val="00A146BA"/>
    <w:rsid w:val="00A15790"/>
    <w:rsid w:val="00A26991"/>
    <w:rsid w:val="00A272E1"/>
    <w:rsid w:val="00A3367A"/>
    <w:rsid w:val="00A3590F"/>
    <w:rsid w:val="00A36905"/>
    <w:rsid w:val="00A3734A"/>
    <w:rsid w:val="00A37592"/>
    <w:rsid w:val="00A37FBD"/>
    <w:rsid w:val="00A40D2F"/>
    <w:rsid w:val="00A41952"/>
    <w:rsid w:val="00A41E5A"/>
    <w:rsid w:val="00A4262C"/>
    <w:rsid w:val="00A42E2A"/>
    <w:rsid w:val="00A436DD"/>
    <w:rsid w:val="00A43AE5"/>
    <w:rsid w:val="00A443DC"/>
    <w:rsid w:val="00A446E4"/>
    <w:rsid w:val="00A456C5"/>
    <w:rsid w:val="00A456EC"/>
    <w:rsid w:val="00A45B24"/>
    <w:rsid w:val="00A4696B"/>
    <w:rsid w:val="00A47CA6"/>
    <w:rsid w:val="00A5037F"/>
    <w:rsid w:val="00A506D8"/>
    <w:rsid w:val="00A512FF"/>
    <w:rsid w:val="00A53351"/>
    <w:rsid w:val="00A537C1"/>
    <w:rsid w:val="00A554FD"/>
    <w:rsid w:val="00A60F12"/>
    <w:rsid w:val="00A61FB4"/>
    <w:rsid w:val="00A620BA"/>
    <w:rsid w:val="00A63BB2"/>
    <w:rsid w:val="00A641F9"/>
    <w:rsid w:val="00A6428F"/>
    <w:rsid w:val="00A643D9"/>
    <w:rsid w:val="00A64874"/>
    <w:rsid w:val="00A656D1"/>
    <w:rsid w:val="00A657BD"/>
    <w:rsid w:val="00A700DC"/>
    <w:rsid w:val="00A71DC8"/>
    <w:rsid w:val="00A723E3"/>
    <w:rsid w:val="00A7269B"/>
    <w:rsid w:val="00A74056"/>
    <w:rsid w:val="00A74A85"/>
    <w:rsid w:val="00A77663"/>
    <w:rsid w:val="00A80770"/>
    <w:rsid w:val="00A81AE2"/>
    <w:rsid w:val="00A84252"/>
    <w:rsid w:val="00A849ED"/>
    <w:rsid w:val="00A85FEF"/>
    <w:rsid w:val="00A916BB"/>
    <w:rsid w:val="00A93F9D"/>
    <w:rsid w:val="00A9410F"/>
    <w:rsid w:val="00A947E2"/>
    <w:rsid w:val="00A94EC3"/>
    <w:rsid w:val="00A97482"/>
    <w:rsid w:val="00A97B3A"/>
    <w:rsid w:val="00A97F3B"/>
    <w:rsid w:val="00AA2393"/>
    <w:rsid w:val="00AA3024"/>
    <w:rsid w:val="00AA46B7"/>
    <w:rsid w:val="00AA4794"/>
    <w:rsid w:val="00AA6810"/>
    <w:rsid w:val="00AA68DD"/>
    <w:rsid w:val="00AB2322"/>
    <w:rsid w:val="00AB38CC"/>
    <w:rsid w:val="00AB398B"/>
    <w:rsid w:val="00AB3B26"/>
    <w:rsid w:val="00AB3DC6"/>
    <w:rsid w:val="00AB4737"/>
    <w:rsid w:val="00AB4D98"/>
    <w:rsid w:val="00AB7CB5"/>
    <w:rsid w:val="00AB7D8A"/>
    <w:rsid w:val="00AC0785"/>
    <w:rsid w:val="00AC2C12"/>
    <w:rsid w:val="00AC2D97"/>
    <w:rsid w:val="00AC3693"/>
    <w:rsid w:val="00AC3BA6"/>
    <w:rsid w:val="00AC516E"/>
    <w:rsid w:val="00AC5910"/>
    <w:rsid w:val="00AC5F19"/>
    <w:rsid w:val="00AC6401"/>
    <w:rsid w:val="00AC73BC"/>
    <w:rsid w:val="00AC7C3F"/>
    <w:rsid w:val="00AC7E17"/>
    <w:rsid w:val="00AD048E"/>
    <w:rsid w:val="00AD0F7E"/>
    <w:rsid w:val="00AD6A41"/>
    <w:rsid w:val="00AD7377"/>
    <w:rsid w:val="00AD7C62"/>
    <w:rsid w:val="00AE1603"/>
    <w:rsid w:val="00AE1ADF"/>
    <w:rsid w:val="00AE3A7C"/>
    <w:rsid w:val="00AE4BE0"/>
    <w:rsid w:val="00AE54E4"/>
    <w:rsid w:val="00AE5C2B"/>
    <w:rsid w:val="00AE6279"/>
    <w:rsid w:val="00AE70FA"/>
    <w:rsid w:val="00AF0082"/>
    <w:rsid w:val="00AF119D"/>
    <w:rsid w:val="00AF443F"/>
    <w:rsid w:val="00B000C7"/>
    <w:rsid w:val="00B019BB"/>
    <w:rsid w:val="00B054B3"/>
    <w:rsid w:val="00B06442"/>
    <w:rsid w:val="00B07494"/>
    <w:rsid w:val="00B07825"/>
    <w:rsid w:val="00B1016C"/>
    <w:rsid w:val="00B1069E"/>
    <w:rsid w:val="00B11C90"/>
    <w:rsid w:val="00B12953"/>
    <w:rsid w:val="00B133B9"/>
    <w:rsid w:val="00B148C5"/>
    <w:rsid w:val="00B16300"/>
    <w:rsid w:val="00B17067"/>
    <w:rsid w:val="00B177F9"/>
    <w:rsid w:val="00B17A80"/>
    <w:rsid w:val="00B22771"/>
    <w:rsid w:val="00B22A51"/>
    <w:rsid w:val="00B22F00"/>
    <w:rsid w:val="00B24535"/>
    <w:rsid w:val="00B26C8E"/>
    <w:rsid w:val="00B30EFA"/>
    <w:rsid w:val="00B315E5"/>
    <w:rsid w:val="00B335AC"/>
    <w:rsid w:val="00B33893"/>
    <w:rsid w:val="00B33BF4"/>
    <w:rsid w:val="00B3561D"/>
    <w:rsid w:val="00B35CFF"/>
    <w:rsid w:val="00B36B92"/>
    <w:rsid w:val="00B40358"/>
    <w:rsid w:val="00B42BCA"/>
    <w:rsid w:val="00B437A3"/>
    <w:rsid w:val="00B43C1F"/>
    <w:rsid w:val="00B44777"/>
    <w:rsid w:val="00B44D6A"/>
    <w:rsid w:val="00B46AEE"/>
    <w:rsid w:val="00B50A9B"/>
    <w:rsid w:val="00B50B0F"/>
    <w:rsid w:val="00B50DD3"/>
    <w:rsid w:val="00B5197B"/>
    <w:rsid w:val="00B52404"/>
    <w:rsid w:val="00B52496"/>
    <w:rsid w:val="00B525B0"/>
    <w:rsid w:val="00B527BB"/>
    <w:rsid w:val="00B52881"/>
    <w:rsid w:val="00B5382A"/>
    <w:rsid w:val="00B53FF8"/>
    <w:rsid w:val="00B54BFF"/>
    <w:rsid w:val="00B54CDF"/>
    <w:rsid w:val="00B55715"/>
    <w:rsid w:val="00B5600A"/>
    <w:rsid w:val="00B5752B"/>
    <w:rsid w:val="00B60090"/>
    <w:rsid w:val="00B6028F"/>
    <w:rsid w:val="00B60A54"/>
    <w:rsid w:val="00B63A4A"/>
    <w:rsid w:val="00B65154"/>
    <w:rsid w:val="00B66565"/>
    <w:rsid w:val="00B66AF6"/>
    <w:rsid w:val="00B67D1A"/>
    <w:rsid w:val="00B7062C"/>
    <w:rsid w:val="00B72B12"/>
    <w:rsid w:val="00B73336"/>
    <w:rsid w:val="00B734C7"/>
    <w:rsid w:val="00B74E34"/>
    <w:rsid w:val="00B751F1"/>
    <w:rsid w:val="00B758DE"/>
    <w:rsid w:val="00B7647D"/>
    <w:rsid w:val="00B80D66"/>
    <w:rsid w:val="00B8226D"/>
    <w:rsid w:val="00B82B3B"/>
    <w:rsid w:val="00B82E5D"/>
    <w:rsid w:val="00B832DF"/>
    <w:rsid w:val="00B8457D"/>
    <w:rsid w:val="00B86757"/>
    <w:rsid w:val="00B874BB"/>
    <w:rsid w:val="00B90549"/>
    <w:rsid w:val="00B911B2"/>
    <w:rsid w:val="00B91823"/>
    <w:rsid w:val="00B9588A"/>
    <w:rsid w:val="00B97386"/>
    <w:rsid w:val="00BA066A"/>
    <w:rsid w:val="00BA0E0C"/>
    <w:rsid w:val="00BA3401"/>
    <w:rsid w:val="00BA3535"/>
    <w:rsid w:val="00BA3978"/>
    <w:rsid w:val="00BA514D"/>
    <w:rsid w:val="00BA5610"/>
    <w:rsid w:val="00BA6031"/>
    <w:rsid w:val="00BA63D0"/>
    <w:rsid w:val="00BA74BF"/>
    <w:rsid w:val="00BB003E"/>
    <w:rsid w:val="00BB0687"/>
    <w:rsid w:val="00BB1E8A"/>
    <w:rsid w:val="00BB3CCA"/>
    <w:rsid w:val="00BB4744"/>
    <w:rsid w:val="00BB54BF"/>
    <w:rsid w:val="00BB5557"/>
    <w:rsid w:val="00BB706B"/>
    <w:rsid w:val="00BC009E"/>
    <w:rsid w:val="00BC15A6"/>
    <w:rsid w:val="00BC24BE"/>
    <w:rsid w:val="00BC31BB"/>
    <w:rsid w:val="00BC368B"/>
    <w:rsid w:val="00BC376A"/>
    <w:rsid w:val="00BC59BC"/>
    <w:rsid w:val="00BC5A0E"/>
    <w:rsid w:val="00BC7020"/>
    <w:rsid w:val="00BC7AA8"/>
    <w:rsid w:val="00BD024B"/>
    <w:rsid w:val="00BD0462"/>
    <w:rsid w:val="00BD0FF9"/>
    <w:rsid w:val="00BD1021"/>
    <w:rsid w:val="00BD10CD"/>
    <w:rsid w:val="00BD16A8"/>
    <w:rsid w:val="00BD3DB8"/>
    <w:rsid w:val="00BD4483"/>
    <w:rsid w:val="00BD49B3"/>
    <w:rsid w:val="00BD4A6F"/>
    <w:rsid w:val="00BD5717"/>
    <w:rsid w:val="00BE21B5"/>
    <w:rsid w:val="00BE30FB"/>
    <w:rsid w:val="00BE7BCB"/>
    <w:rsid w:val="00BF000E"/>
    <w:rsid w:val="00BF108F"/>
    <w:rsid w:val="00BF2045"/>
    <w:rsid w:val="00BF22CE"/>
    <w:rsid w:val="00BF2E59"/>
    <w:rsid w:val="00BF3F38"/>
    <w:rsid w:val="00BF43DA"/>
    <w:rsid w:val="00BF4DF0"/>
    <w:rsid w:val="00BF52F3"/>
    <w:rsid w:val="00BF7BB0"/>
    <w:rsid w:val="00C01BE8"/>
    <w:rsid w:val="00C01D06"/>
    <w:rsid w:val="00C01F61"/>
    <w:rsid w:val="00C028B5"/>
    <w:rsid w:val="00C04189"/>
    <w:rsid w:val="00C04823"/>
    <w:rsid w:val="00C04E48"/>
    <w:rsid w:val="00C05759"/>
    <w:rsid w:val="00C06546"/>
    <w:rsid w:val="00C06E03"/>
    <w:rsid w:val="00C0742A"/>
    <w:rsid w:val="00C07922"/>
    <w:rsid w:val="00C07DE1"/>
    <w:rsid w:val="00C10739"/>
    <w:rsid w:val="00C110DB"/>
    <w:rsid w:val="00C117DA"/>
    <w:rsid w:val="00C13949"/>
    <w:rsid w:val="00C13C66"/>
    <w:rsid w:val="00C13FBC"/>
    <w:rsid w:val="00C14358"/>
    <w:rsid w:val="00C1559E"/>
    <w:rsid w:val="00C15AEB"/>
    <w:rsid w:val="00C178F9"/>
    <w:rsid w:val="00C205EE"/>
    <w:rsid w:val="00C20E48"/>
    <w:rsid w:val="00C231B6"/>
    <w:rsid w:val="00C23875"/>
    <w:rsid w:val="00C239DF"/>
    <w:rsid w:val="00C23B17"/>
    <w:rsid w:val="00C23EB8"/>
    <w:rsid w:val="00C2499F"/>
    <w:rsid w:val="00C24D6D"/>
    <w:rsid w:val="00C2526B"/>
    <w:rsid w:val="00C27244"/>
    <w:rsid w:val="00C3096E"/>
    <w:rsid w:val="00C327B6"/>
    <w:rsid w:val="00C337A8"/>
    <w:rsid w:val="00C3441C"/>
    <w:rsid w:val="00C345E8"/>
    <w:rsid w:val="00C376C8"/>
    <w:rsid w:val="00C40763"/>
    <w:rsid w:val="00C4161D"/>
    <w:rsid w:val="00C427D0"/>
    <w:rsid w:val="00C42F9A"/>
    <w:rsid w:val="00C44754"/>
    <w:rsid w:val="00C44EC4"/>
    <w:rsid w:val="00C45293"/>
    <w:rsid w:val="00C46C6D"/>
    <w:rsid w:val="00C477A2"/>
    <w:rsid w:val="00C52E84"/>
    <w:rsid w:val="00C53662"/>
    <w:rsid w:val="00C53A9A"/>
    <w:rsid w:val="00C555F5"/>
    <w:rsid w:val="00C60A1B"/>
    <w:rsid w:val="00C62801"/>
    <w:rsid w:val="00C63532"/>
    <w:rsid w:val="00C6384E"/>
    <w:rsid w:val="00C63F04"/>
    <w:rsid w:val="00C6442D"/>
    <w:rsid w:val="00C6645C"/>
    <w:rsid w:val="00C66E2B"/>
    <w:rsid w:val="00C720C4"/>
    <w:rsid w:val="00C73416"/>
    <w:rsid w:val="00C747C1"/>
    <w:rsid w:val="00C756B0"/>
    <w:rsid w:val="00C77794"/>
    <w:rsid w:val="00C77C16"/>
    <w:rsid w:val="00C80FEE"/>
    <w:rsid w:val="00C84BCF"/>
    <w:rsid w:val="00C865D6"/>
    <w:rsid w:val="00C91D75"/>
    <w:rsid w:val="00C927E7"/>
    <w:rsid w:val="00C9297B"/>
    <w:rsid w:val="00C94877"/>
    <w:rsid w:val="00C97152"/>
    <w:rsid w:val="00C97441"/>
    <w:rsid w:val="00C97B39"/>
    <w:rsid w:val="00C97EA7"/>
    <w:rsid w:val="00CA006A"/>
    <w:rsid w:val="00CA1D9D"/>
    <w:rsid w:val="00CA23FA"/>
    <w:rsid w:val="00CA2E07"/>
    <w:rsid w:val="00CA3013"/>
    <w:rsid w:val="00CA3998"/>
    <w:rsid w:val="00CA4238"/>
    <w:rsid w:val="00CA4C50"/>
    <w:rsid w:val="00CA55B5"/>
    <w:rsid w:val="00CA71B4"/>
    <w:rsid w:val="00CB0478"/>
    <w:rsid w:val="00CB1C34"/>
    <w:rsid w:val="00CB2130"/>
    <w:rsid w:val="00CB3D04"/>
    <w:rsid w:val="00CB52B0"/>
    <w:rsid w:val="00CB5B97"/>
    <w:rsid w:val="00CB7207"/>
    <w:rsid w:val="00CB7F13"/>
    <w:rsid w:val="00CC0088"/>
    <w:rsid w:val="00CC04CD"/>
    <w:rsid w:val="00CC0D0F"/>
    <w:rsid w:val="00CC26D2"/>
    <w:rsid w:val="00CC2CCC"/>
    <w:rsid w:val="00CC346C"/>
    <w:rsid w:val="00CC40CF"/>
    <w:rsid w:val="00CC4825"/>
    <w:rsid w:val="00CC4AED"/>
    <w:rsid w:val="00CC4CF5"/>
    <w:rsid w:val="00CC5B2B"/>
    <w:rsid w:val="00CC62E6"/>
    <w:rsid w:val="00CD0644"/>
    <w:rsid w:val="00CD098F"/>
    <w:rsid w:val="00CD14F6"/>
    <w:rsid w:val="00CD26D8"/>
    <w:rsid w:val="00CD2D39"/>
    <w:rsid w:val="00CD3744"/>
    <w:rsid w:val="00CD568C"/>
    <w:rsid w:val="00CD78E8"/>
    <w:rsid w:val="00CE2EBD"/>
    <w:rsid w:val="00CF0582"/>
    <w:rsid w:val="00CF0EC8"/>
    <w:rsid w:val="00CF1037"/>
    <w:rsid w:val="00CF18ED"/>
    <w:rsid w:val="00CF1BCF"/>
    <w:rsid w:val="00CF2473"/>
    <w:rsid w:val="00CF277B"/>
    <w:rsid w:val="00CF2849"/>
    <w:rsid w:val="00CF2CA3"/>
    <w:rsid w:val="00CF30D7"/>
    <w:rsid w:val="00CF328B"/>
    <w:rsid w:val="00CF3EBA"/>
    <w:rsid w:val="00CF64E4"/>
    <w:rsid w:val="00CF65B4"/>
    <w:rsid w:val="00D01502"/>
    <w:rsid w:val="00D01A8F"/>
    <w:rsid w:val="00D0328B"/>
    <w:rsid w:val="00D03C57"/>
    <w:rsid w:val="00D05202"/>
    <w:rsid w:val="00D05B22"/>
    <w:rsid w:val="00D061F3"/>
    <w:rsid w:val="00D0633D"/>
    <w:rsid w:val="00D0747E"/>
    <w:rsid w:val="00D07CDA"/>
    <w:rsid w:val="00D109AC"/>
    <w:rsid w:val="00D11248"/>
    <w:rsid w:val="00D1125D"/>
    <w:rsid w:val="00D1284E"/>
    <w:rsid w:val="00D12DBA"/>
    <w:rsid w:val="00D12E20"/>
    <w:rsid w:val="00D138D9"/>
    <w:rsid w:val="00D14685"/>
    <w:rsid w:val="00D15657"/>
    <w:rsid w:val="00D1575C"/>
    <w:rsid w:val="00D16561"/>
    <w:rsid w:val="00D171D6"/>
    <w:rsid w:val="00D214BD"/>
    <w:rsid w:val="00D21BB7"/>
    <w:rsid w:val="00D220B6"/>
    <w:rsid w:val="00D24B4D"/>
    <w:rsid w:val="00D24F08"/>
    <w:rsid w:val="00D26D9C"/>
    <w:rsid w:val="00D302D9"/>
    <w:rsid w:val="00D30471"/>
    <w:rsid w:val="00D307A5"/>
    <w:rsid w:val="00D3158C"/>
    <w:rsid w:val="00D31B80"/>
    <w:rsid w:val="00D32925"/>
    <w:rsid w:val="00D32C3E"/>
    <w:rsid w:val="00D32EBF"/>
    <w:rsid w:val="00D360CA"/>
    <w:rsid w:val="00D36953"/>
    <w:rsid w:val="00D37E05"/>
    <w:rsid w:val="00D40348"/>
    <w:rsid w:val="00D40716"/>
    <w:rsid w:val="00D45C69"/>
    <w:rsid w:val="00D5105C"/>
    <w:rsid w:val="00D515D0"/>
    <w:rsid w:val="00D52D84"/>
    <w:rsid w:val="00D52EC9"/>
    <w:rsid w:val="00D54415"/>
    <w:rsid w:val="00D547F4"/>
    <w:rsid w:val="00D54BF5"/>
    <w:rsid w:val="00D559C2"/>
    <w:rsid w:val="00D55D0A"/>
    <w:rsid w:val="00D566AF"/>
    <w:rsid w:val="00D609CF"/>
    <w:rsid w:val="00D60CE2"/>
    <w:rsid w:val="00D610D7"/>
    <w:rsid w:val="00D63ACB"/>
    <w:rsid w:val="00D64FB2"/>
    <w:rsid w:val="00D6540A"/>
    <w:rsid w:val="00D70977"/>
    <w:rsid w:val="00D72893"/>
    <w:rsid w:val="00D728CF"/>
    <w:rsid w:val="00D72D5F"/>
    <w:rsid w:val="00D74065"/>
    <w:rsid w:val="00D7490E"/>
    <w:rsid w:val="00D749CE"/>
    <w:rsid w:val="00D81667"/>
    <w:rsid w:val="00D81D02"/>
    <w:rsid w:val="00D82024"/>
    <w:rsid w:val="00D8259D"/>
    <w:rsid w:val="00D83084"/>
    <w:rsid w:val="00D83ED2"/>
    <w:rsid w:val="00D841F4"/>
    <w:rsid w:val="00D84A15"/>
    <w:rsid w:val="00D85130"/>
    <w:rsid w:val="00D8578A"/>
    <w:rsid w:val="00D85BAA"/>
    <w:rsid w:val="00D85CAA"/>
    <w:rsid w:val="00D86A63"/>
    <w:rsid w:val="00D87990"/>
    <w:rsid w:val="00D91768"/>
    <w:rsid w:val="00D91DCA"/>
    <w:rsid w:val="00D92E96"/>
    <w:rsid w:val="00D9353D"/>
    <w:rsid w:val="00D94959"/>
    <w:rsid w:val="00D94A39"/>
    <w:rsid w:val="00D94FF9"/>
    <w:rsid w:val="00D9563D"/>
    <w:rsid w:val="00D95AF6"/>
    <w:rsid w:val="00DA0879"/>
    <w:rsid w:val="00DA3FED"/>
    <w:rsid w:val="00DA40C7"/>
    <w:rsid w:val="00DA550B"/>
    <w:rsid w:val="00DA5E5F"/>
    <w:rsid w:val="00DA6C8B"/>
    <w:rsid w:val="00DA7A03"/>
    <w:rsid w:val="00DB0784"/>
    <w:rsid w:val="00DB0C9D"/>
    <w:rsid w:val="00DB0CE8"/>
    <w:rsid w:val="00DB14D8"/>
    <w:rsid w:val="00DB21BD"/>
    <w:rsid w:val="00DB23FB"/>
    <w:rsid w:val="00DB293E"/>
    <w:rsid w:val="00DB40B1"/>
    <w:rsid w:val="00DB4BF3"/>
    <w:rsid w:val="00DB5C69"/>
    <w:rsid w:val="00DC0E8D"/>
    <w:rsid w:val="00DC291A"/>
    <w:rsid w:val="00DC2E8A"/>
    <w:rsid w:val="00DC3434"/>
    <w:rsid w:val="00DC4AAC"/>
    <w:rsid w:val="00DC6B77"/>
    <w:rsid w:val="00DC7004"/>
    <w:rsid w:val="00DC7A58"/>
    <w:rsid w:val="00DD2623"/>
    <w:rsid w:val="00DD2886"/>
    <w:rsid w:val="00DD34A5"/>
    <w:rsid w:val="00DD34DB"/>
    <w:rsid w:val="00DD4310"/>
    <w:rsid w:val="00DD59B4"/>
    <w:rsid w:val="00DD5B9B"/>
    <w:rsid w:val="00DD6A47"/>
    <w:rsid w:val="00DE1C6A"/>
    <w:rsid w:val="00DE2551"/>
    <w:rsid w:val="00DE33E0"/>
    <w:rsid w:val="00DE38C2"/>
    <w:rsid w:val="00DE513A"/>
    <w:rsid w:val="00DE7873"/>
    <w:rsid w:val="00DF0293"/>
    <w:rsid w:val="00DF0B1C"/>
    <w:rsid w:val="00DF1FDC"/>
    <w:rsid w:val="00DF21D4"/>
    <w:rsid w:val="00DF28EF"/>
    <w:rsid w:val="00DF3B72"/>
    <w:rsid w:val="00DF4E35"/>
    <w:rsid w:val="00DF77F3"/>
    <w:rsid w:val="00E00D64"/>
    <w:rsid w:val="00E015DB"/>
    <w:rsid w:val="00E017A8"/>
    <w:rsid w:val="00E02962"/>
    <w:rsid w:val="00E03841"/>
    <w:rsid w:val="00E03D5E"/>
    <w:rsid w:val="00E04B43"/>
    <w:rsid w:val="00E0573C"/>
    <w:rsid w:val="00E10DCB"/>
    <w:rsid w:val="00E12D61"/>
    <w:rsid w:val="00E13FB0"/>
    <w:rsid w:val="00E14986"/>
    <w:rsid w:val="00E159BB"/>
    <w:rsid w:val="00E15ED6"/>
    <w:rsid w:val="00E1602D"/>
    <w:rsid w:val="00E1669B"/>
    <w:rsid w:val="00E16B56"/>
    <w:rsid w:val="00E16E0B"/>
    <w:rsid w:val="00E17330"/>
    <w:rsid w:val="00E2057A"/>
    <w:rsid w:val="00E229F3"/>
    <w:rsid w:val="00E23638"/>
    <w:rsid w:val="00E24DDA"/>
    <w:rsid w:val="00E25107"/>
    <w:rsid w:val="00E25108"/>
    <w:rsid w:val="00E25602"/>
    <w:rsid w:val="00E25C8F"/>
    <w:rsid w:val="00E30567"/>
    <w:rsid w:val="00E30B6A"/>
    <w:rsid w:val="00E31086"/>
    <w:rsid w:val="00E31F43"/>
    <w:rsid w:val="00E33A10"/>
    <w:rsid w:val="00E345B3"/>
    <w:rsid w:val="00E356B1"/>
    <w:rsid w:val="00E35916"/>
    <w:rsid w:val="00E35C14"/>
    <w:rsid w:val="00E36F0B"/>
    <w:rsid w:val="00E37347"/>
    <w:rsid w:val="00E37725"/>
    <w:rsid w:val="00E377CE"/>
    <w:rsid w:val="00E379B7"/>
    <w:rsid w:val="00E4297C"/>
    <w:rsid w:val="00E42E4D"/>
    <w:rsid w:val="00E44146"/>
    <w:rsid w:val="00E46F4F"/>
    <w:rsid w:val="00E47533"/>
    <w:rsid w:val="00E50D8C"/>
    <w:rsid w:val="00E515DA"/>
    <w:rsid w:val="00E51893"/>
    <w:rsid w:val="00E5300F"/>
    <w:rsid w:val="00E55774"/>
    <w:rsid w:val="00E57548"/>
    <w:rsid w:val="00E57572"/>
    <w:rsid w:val="00E600B6"/>
    <w:rsid w:val="00E614D1"/>
    <w:rsid w:val="00E625B9"/>
    <w:rsid w:val="00E649A2"/>
    <w:rsid w:val="00E65FDC"/>
    <w:rsid w:val="00E66707"/>
    <w:rsid w:val="00E66F0A"/>
    <w:rsid w:val="00E671F0"/>
    <w:rsid w:val="00E711E0"/>
    <w:rsid w:val="00E714F0"/>
    <w:rsid w:val="00E71EA0"/>
    <w:rsid w:val="00E72651"/>
    <w:rsid w:val="00E72AC6"/>
    <w:rsid w:val="00E77107"/>
    <w:rsid w:val="00E77B49"/>
    <w:rsid w:val="00E81704"/>
    <w:rsid w:val="00E81DD6"/>
    <w:rsid w:val="00E83860"/>
    <w:rsid w:val="00E8595B"/>
    <w:rsid w:val="00E9030A"/>
    <w:rsid w:val="00E908B2"/>
    <w:rsid w:val="00E90AFA"/>
    <w:rsid w:val="00E90BA1"/>
    <w:rsid w:val="00E943DE"/>
    <w:rsid w:val="00E9539D"/>
    <w:rsid w:val="00E96281"/>
    <w:rsid w:val="00E97035"/>
    <w:rsid w:val="00E97838"/>
    <w:rsid w:val="00E97964"/>
    <w:rsid w:val="00EA1DC8"/>
    <w:rsid w:val="00EA2170"/>
    <w:rsid w:val="00EA24AE"/>
    <w:rsid w:val="00EA403A"/>
    <w:rsid w:val="00EA4A4D"/>
    <w:rsid w:val="00EA5B13"/>
    <w:rsid w:val="00EA6FAE"/>
    <w:rsid w:val="00EB0804"/>
    <w:rsid w:val="00EB218B"/>
    <w:rsid w:val="00EB2BFB"/>
    <w:rsid w:val="00EB37BF"/>
    <w:rsid w:val="00EB4C90"/>
    <w:rsid w:val="00EB5EA7"/>
    <w:rsid w:val="00EB6902"/>
    <w:rsid w:val="00EB745B"/>
    <w:rsid w:val="00EB7B1C"/>
    <w:rsid w:val="00EC160F"/>
    <w:rsid w:val="00EC22F4"/>
    <w:rsid w:val="00EC4FED"/>
    <w:rsid w:val="00EC654A"/>
    <w:rsid w:val="00EC744B"/>
    <w:rsid w:val="00ED11C2"/>
    <w:rsid w:val="00ED1484"/>
    <w:rsid w:val="00ED1DFB"/>
    <w:rsid w:val="00ED259A"/>
    <w:rsid w:val="00ED35E5"/>
    <w:rsid w:val="00ED4094"/>
    <w:rsid w:val="00ED4256"/>
    <w:rsid w:val="00ED54BF"/>
    <w:rsid w:val="00ED658C"/>
    <w:rsid w:val="00ED770E"/>
    <w:rsid w:val="00EE1E33"/>
    <w:rsid w:val="00EE2A39"/>
    <w:rsid w:val="00EE3198"/>
    <w:rsid w:val="00EE3C7B"/>
    <w:rsid w:val="00EE3DEB"/>
    <w:rsid w:val="00EE46BC"/>
    <w:rsid w:val="00EE5454"/>
    <w:rsid w:val="00EE67C3"/>
    <w:rsid w:val="00EF0222"/>
    <w:rsid w:val="00EF3625"/>
    <w:rsid w:val="00EF5413"/>
    <w:rsid w:val="00EF5634"/>
    <w:rsid w:val="00EF5FCD"/>
    <w:rsid w:val="00EF7649"/>
    <w:rsid w:val="00F003D3"/>
    <w:rsid w:val="00F00CC1"/>
    <w:rsid w:val="00F01EEF"/>
    <w:rsid w:val="00F01FB3"/>
    <w:rsid w:val="00F021A1"/>
    <w:rsid w:val="00F02281"/>
    <w:rsid w:val="00F024AB"/>
    <w:rsid w:val="00F03429"/>
    <w:rsid w:val="00F03DC0"/>
    <w:rsid w:val="00F044BA"/>
    <w:rsid w:val="00F04987"/>
    <w:rsid w:val="00F05724"/>
    <w:rsid w:val="00F05B77"/>
    <w:rsid w:val="00F06F7D"/>
    <w:rsid w:val="00F06FF5"/>
    <w:rsid w:val="00F07547"/>
    <w:rsid w:val="00F07B2B"/>
    <w:rsid w:val="00F1005D"/>
    <w:rsid w:val="00F106C3"/>
    <w:rsid w:val="00F122B5"/>
    <w:rsid w:val="00F12DF0"/>
    <w:rsid w:val="00F13285"/>
    <w:rsid w:val="00F13F87"/>
    <w:rsid w:val="00F153EB"/>
    <w:rsid w:val="00F16AF0"/>
    <w:rsid w:val="00F177EA"/>
    <w:rsid w:val="00F20FF4"/>
    <w:rsid w:val="00F218C8"/>
    <w:rsid w:val="00F21A81"/>
    <w:rsid w:val="00F2270B"/>
    <w:rsid w:val="00F22E65"/>
    <w:rsid w:val="00F2388D"/>
    <w:rsid w:val="00F23E63"/>
    <w:rsid w:val="00F2418D"/>
    <w:rsid w:val="00F24233"/>
    <w:rsid w:val="00F2430F"/>
    <w:rsid w:val="00F26F0C"/>
    <w:rsid w:val="00F35E96"/>
    <w:rsid w:val="00F36733"/>
    <w:rsid w:val="00F437C1"/>
    <w:rsid w:val="00F4484C"/>
    <w:rsid w:val="00F4497E"/>
    <w:rsid w:val="00F45001"/>
    <w:rsid w:val="00F47080"/>
    <w:rsid w:val="00F475D7"/>
    <w:rsid w:val="00F50C04"/>
    <w:rsid w:val="00F5152C"/>
    <w:rsid w:val="00F51870"/>
    <w:rsid w:val="00F51BC4"/>
    <w:rsid w:val="00F51EE1"/>
    <w:rsid w:val="00F521F0"/>
    <w:rsid w:val="00F53AD7"/>
    <w:rsid w:val="00F54E62"/>
    <w:rsid w:val="00F55ED3"/>
    <w:rsid w:val="00F602A1"/>
    <w:rsid w:val="00F610C0"/>
    <w:rsid w:val="00F625C3"/>
    <w:rsid w:val="00F633E4"/>
    <w:rsid w:val="00F65DB7"/>
    <w:rsid w:val="00F66F7C"/>
    <w:rsid w:val="00F66FC0"/>
    <w:rsid w:val="00F67678"/>
    <w:rsid w:val="00F70D48"/>
    <w:rsid w:val="00F72B33"/>
    <w:rsid w:val="00F739A2"/>
    <w:rsid w:val="00F74E8D"/>
    <w:rsid w:val="00F756D1"/>
    <w:rsid w:val="00F803CA"/>
    <w:rsid w:val="00F83A56"/>
    <w:rsid w:val="00F84FF8"/>
    <w:rsid w:val="00F85DC0"/>
    <w:rsid w:val="00F8643D"/>
    <w:rsid w:val="00F865EC"/>
    <w:rsid w:val="00F8771D"/>
    <w:rsid w:val="00F87FEB"/>
    <w:rsid w:val="00F91E3C"/>
    <w:rsid w:val="00F93ADB"/>
    <w:rsid w:val="00F94351"/>
    <w:rsid w:val="00F94E0F"/>
    <w:rsid w:val="00F95C9A"/>
    <w:rsid w:val="00F95DD0"/>
    <w:rsid w:val="00F979D8"/>
    <w:rsid w:val="00FA04C5"/>
    <w:rsid w:val="00FA1154"/>
    <w:rsid w:val="00FA1AA8"/>
    <w:rsid w:val="00FA1BA0"/>
    <w:rsid w:val="00FA1BA6"/>
    <w:rsid w:val="00FA1E4B"/>
    <w:rsid w:val="00FA29F2"/>
    <w:rsid w:val="00FA2B34"/>
    <w:rsid w:val="00FA2E0B"/>
    <w:rsid w:val="00FA587A"/>
    <w:rsid w:val="00FA58F5"/>
    <w:rsid w:val="00FA5961"/>
    <w:rsid w:val="00FA5F23"/>
    <w:rsid w:val="00FA6022"/>
    <w:rsid w:val="00FA6828"/>
    <w:rsid w:val="00FA7B45"/>
    <w:rsid w:val="00FA7EE5"/>
    <w:rsid w:val="00FB02F7"/>
    <w:rsid w:val="00FB15EA"/>
    <w:rsid w:val="00FB255E"/>
    <w:rsid w:val="00FB6A0E"/>
    <w:rsid w:val="00FC10D9"/>
    <w:rsid w:val="00FC20BC"/>
    <w:rsid w:val="00FC241B"/>
    <w:rsid w:val="00FC39ED"/>
    <w:rsid w:val="00FC4D55"/>
    <w:rsid w:val="00FC4EE1"/>
    <w:rsid w:val="00FC5E27"/>
    <w:rsid w:val="00FC6012"/>
    <w:rsid w:val="00FC7C1D"/>
    <w:rsid w:val="00FC7C93"/>
    <w:rsid w:val="00FD0F0D"/>
    <w:rsid w:val="00FD446B"/>
    <w:rsid w:val="00FD48B1"/>
    <w:rsid w:val="00FD49C7"/>
    <w:rsid w:val="00FD4D79"/>
    <w:rsid w:val="00FD4E82"/>
    <w:rsid w:val="00FD510C"/>
    <w:rsid w:val="00FD66ED"/>
    <w:rsid w:val="00FE01F5"/>
    <w:rsid w:val="00FE0F43"/>
    <w:rsid w:val="00FE26D3"/>
    <w:rsid w:val="00FE2788"/>
    <w:rsid w:val="00FE41B9"/>
    <w:rsid w:val="00FE593D"/>
    <w:rsid w:val="00FE59D0"/>
    <w:rsid w:val="00FE61AC"/>
    <w:rsid w:val="00FE62C3"/>
    <w:rsid w:val="00FE635F"/>
    <w:rsid w:val="00FE79F3"/>
    <w:rsid w:val="00FF00E6"/>
    <w:rsid w:val="00FF01FB"/>
    <w:rsid w:val="00FF26C1"/>
    <w:rsid w:val="00FF33B7"/>
    <w:rsid w:val="00FF35C8"/>
    <w:rsid w:val="00FF3D65"/>
    <w:rsid w:val="00FF406C"/>
    <w:rsid w:val="00FF4BB6"/>
    <w:rsid w:val="00FF4F31"/>
    <w:rsid w:val="00FF53D6"/>
    <w:rsid w:val="00FF7E33"/>
    <w:rsid w:val="00FF7E6D"/>
    <w:rsid w:val="01043F0E"/>
    <w:rsid w:val="010D1478"/>
    <w:rsid w:val="011E1B15"/>
    <w:rsid w:val="01523292"/>
    <w:rsid w:val="017C2008"/>
    <w:rsid w:val="01843F38"/>
    <w:rsid w:val="018F460A"/>
    <w:rsid w:val="01A30E05"/>
    <w:rsid w:val="01FF5247"/>
    <w:rsid w:val="020A6E7B"/>
    <w:rsid w:val="0220006D"/>
    <w:rsid w:val="022A76E5"/>
    <w:rsid w:val="02592242"/>
    <w:rsid w:val="02C46D69"/>
    <w:rsid w:val="02D055A5"/>
    <w:rsid w:val="02ED3040"/>
    <w:rsid w:val="03336EFD"/>
    <w:rsid w:val="03360359"/>
    <w:rsid w:val="03476C01"/>
    <w:rsid w:val="035161B3"/>
    <w:rsid w:val="03B77507"/>
    <w:rsid w:val="03D5783C"/>
    <w:rsid w:val="04015B00"/>
    <w:rsid w:val="0437346E"/>
    <w:rsid w:val="04396E96"/>
    <w:rsid w:val="044038E5"/>
    <w:rsid w:val="04AD5611"/>
    <w:rsid w:val="04D1404A"/>
    <w:rsid w:val="04E306E4"/>
    <w:rsid w:val="05020DC5"/>
    <w:rsid w:val="051515E9"/>
    <w:rsid w:val="055F0CD4"/>
    <w:rsid w:val="05915D02"/>
    <w:rsid w:val="05923F41"/>
    <w:rsid w:val="05946B98"/>
    <w:rsid w:val="05996E3B"/>
    <w:rsid w:val="05CD51C3"/>
    <w:rsid w:val="05D96F48"/>
    <w:rsid w:val="05E00A84"/>
    <w:rsid w:val="05EE6F8A"/>
    <w:rsid w:val="0617325B"/>
    <w:rsid w:val="062760BE"/>
    <w:rsid w:val="0661284B"/>
    <w:rsid w:val="066309A1"/>
    <w:rsid w:val="066578D7"/>
    <w:rsid w:val="06C07953"/>
    <w:rsid w:val="070F0E37"/>
    <w:rsid w:val="071C5327"/>
    <w:rsid w:val="071E0BC6"/>
    <w:rsid w:val="07293A02"/>
    <w:rsid w:val="07301CA1"/>
    <w:rsid w:val="075328D1"/>
    <w:rsid w:val="076906E3"/>
    <w:rsid w:val="077E4E85"/>
    <w:rsid w:val="078060BC"/>
    <w:rsid w:val="078113AB"/>
    <w:rsid w:val="078F4911"/>
    <w:rsid w:val="07BB15CB"/>
    <w:rsid w:val="07D658E2"/>
    <w:rsid w:val="07E0013D"/>
    <w:rsid w:val="07FE69B8"/>
    <w:rsid w:val="084F19B4"/>
    <w:rsid w:val="08590E37"/>
    <w:rsid w:val="08813E3A"/>
    <w:rsid w:val="088551A8"/>
    <w:rsid w:val="08D637E7"/>
    <w:rsid w:val="08EE04E8"/>
    <w:rsid w:val="09034CCB"/>
    <w:rsid w:val="09263FA8"/>
    <w:rsid w:val="093D3F80"/>
    <w:rsid w:val="09814042"/>
    <w:rsid w:val="09866EB2"/>
    <w:rsid w:val="09934CC1"/>
    <w:rsid w:val="099856C8"/>
    <w:rsid w:val="09CF21CE"/>
    <w:rsid w:val="09DD6A92"/>
    <w:rsid w:val="09F9492C"/>
    <w:rsid w:val="09FB3E58"/>
    <w:rsid w:val="0A000BFC"/>
    <w:rsid w:val="0A1E0D1E"/>
    <w:rsid w:val="0A3C3337"/>
    <w:rsid w:val="0A4327D9"/>
    <w:rsid w:val="0A5E1396"/>
    <w:rsid w:val="0A5F0362"/>
    <w:rsid w:val="0A9B0D95"/>
    <w:rsid w:val="0AA73C3A"/>
    <w:rsid w:val="0AB02E5F"/>
    <w:rsid w:val="0AC33171"/>
    <w:rsid w:val="0ACA6A52"/>
    <w:rsid w:val="0AD77140"/>
    <w:rsid w:val="0ADD6C09"/>
    <w:rsid w:val="0AE83F50"/>
    <w:rsid w:val="0AFE43A8"/>
    <w:rsid w:val="0B0D56CF"/>
    <w:rsid w:val="0B1C3D56"/>
    <w:rsid w:val="0B232E0A"/>
    <w:rsid w:val="0B2C4662"/>
    <w:rsid w:val="0B40223A"/>
    <w:rsid w:val="0B4A1EE9"/>
    <w:rsid w:val="0B595C00"/>
    <w:rsid w:val="0B5E2A0C"/>
    <w:rsid w:val="0B6445EB"/>
    <w:rsid w:val="0B98313B"/>
    <w:rsid w:val="0BDA7EC4"/>
    <w:rsid w:val="0BFB00C8"/>
    <w:rsid w:val="0C2713C3"/>
    <w:rsid w:val="0C282FF8"/>
    <w:rsid w:val="0C293217"/>
    <w:rsid w:val="0C3B0586"/>
    <w:rsid w:val="0C44515E"/>
    <w:rsid w:val="0C4A51A4"/>
    <w:rsid w:val="0C5473F7"/>
    <w:rsid w:val="0C5B6B01"/>
    <w:rsid w:val="0C677099"/>
    <w:rsid w:val="0C825DD4"/>
    <w:rsid w:val="0C9C01EE"/>
    <w:rsid w:val="0CB2468A"/>
    <w:rsid w:val="0CB35BA9"/>
    <w:rsid w:val="0CB7198D"/>
    <w:rsid w:val="0D090AE1"/>
    <w:rsid w:val="0D0D4277"/>
    <w:rsid w:val="0D2B0726"/>
    <w:rsid w:val="0D374E07"/>
    <w:rsid w:val="0D3E40B7"/>
    <w:rsid w:val="0D3E61B5"/>
    <w:rsid w:val="0D8741A8"/>
    <w:rsid w:val="0D8C26F2"/>
    <w:rsid w:val="0D8D6A43"/>
    <w:rsid w:val="0D9A3D08"/>
    <w:rsid w:val="0DB37D37"/>
    <w:rsid w:val="0DC12098"/>
    <w:rsid w:val="0E170C79"/>
    <w:rsid w:val="0E2B5368"/>
    <w:rsid w:val="0E4B68A8"/>
    <w:rsid w:val="0E4E7C88"/>
    <w:rsid w:val="0E6E3FC6"/>
    <w:rsid w:val="0E8D30E8"/>
    <w:rsid w:val="0EC43029"/>
    <w:rsid w:val="0EC63021"/>
    <w:rsid w:val="0ED75E15"/>
    <w:rsid w:val="0EF127BB"/>
    <w:rsid w:val="0F343A97"/>
    <w:rsid w:val="0F391BD2"/>
    <w:rsid w:val="0F421515"/>
    <w:rsid w:val="0F5C5415"/>
    <w:rsid w:val="0F7F22C5"/>
    <w:rsid w:val="0F9D1A41"/>
    <w:rsid w:val="0FC71C2B"/>
    <w:rsid w:val="0FCD1F3D"/>
    <w:rsid w:val="0FF216FD"/>
    <w:rsid w:val="10003E1E"/>
    <w:rsid w:val="10320FEF"/>
    <w:rsid w:val="10837DE2"/>
    <w:rsid w:val="109E5D4B"/>
    <w:rsid w:val="10B21E67"/>
    <w:rsid w:val="10C971AF"/>
    <w:rsid w:val="10E1362F"/>
    <w:rsid w:val="10E21F77"/>
    <w:rsid w:val="11091828"/>
    <w:rsid w:val="112D7127"/>
    <w:rsid w:val="112F2501"/>
    <w:rsid w:val="114F03E2"/>
    <w:rsid w:val="11673EEE"/>
    <w:rsid w:val="116B6A10"/>
    <w:rsid w:val="117E5FC9"/>
    <w:rsid w:val="118C5188"/>
    <w:rsid w:val="11A22933"/>
    <w:rsid w:val="11BE6F03"/>
    <w:rsid w:val="11F52DA6"/>
    <w:rsid w:val="124740DD"/>
    <w:rsid w:val="12C077A4"/>
    <w:rsid w:val="12C32F02"/>
    <w:rsid w:val="12C60F52"/>
    <w:rsid w:val="12EA125F"/>
    <w:rsid w:val="132858B6"/>
    <w:rsid w:val="133C2826"/>
    <w:rsid w:val="133C779D"/>
    <w:rsid w:val="133D52FE"/>
    <w:rsid w:val="13920987"/>
    <w:rsid w:val="13B21BBC"/>
    <w:rsid w:val="13B260D5"/>
    <w:rsid w:val="13B90FF6"/>
    <w:rsid w:val="13C471BB"/>
    <w:rsid w:val="13E67ED8"/>
    <w:rsid w:val="13EC24B3"/>
    <w:rsid w:val="14021D27"/>
    <w:rsid w:val="14063211"/>
    <w:rsid w:val="14A02EAC"/>
    <w:rsid w:val="14A13977"/>
    <w:rsid w:val="14DA314E"/>
    <w:rsid w:val="14F771DF"/>
    <w:rsid w:val="154413F2"/>
    <w:rsid w:val="154D08DD"/>
    <w:rsid w:val="157105C4"/>
    <w:rsid w:val="15890C6A"/>
    <w:rsid w:val="15BA19BB"/>
    <w:rsid w:val="15DC5616"/>
    <w:rsid w:val="16201A8D"/>
    <w:rsid w:val="16252125"/>
    <w:rsid w:val="1676558C"/>
    <w:rsid w:val="16AC1F02"/>
    <w:rsid w:val="16DA7E38"/>
    <w:rsid w:val="16F72F20"/>
    <w:rsid w:val="17161E0F"/>
    <w:rsid w:val="17D43C32"/>
    <w:rsid w:val="18450151"/>
    <w:rsid w:val="185E53E4"/>
    <w:rsid w:val="18676CDE"/>
    <w:rsid w:val="186F1D32"/>
    <w:rsid w:val="187578AE"/>
    <w:rsid w:val="187E4FEC"/>
    <w:rsid w:val="18A52516"/>
    <w:rsid w:val="18A67535"/>
    <w:rsid w:val="18AB3835"/>
    <w:rsid w:val="18B36659"/>
    <w:rsid w:val="18CB4091"/>
    <w:rsid w:val="19075A5E"/>
    <w:rsid w:val="1918430E"/>
    <w:rsid w:val="19471A8A"/>
    <w:rsid w:val="196930F4"/>
    <w:rsid w:val="19806FC4"/>
    <w:rsid w:val="1982237D"/>
    <w:rsid w:val="199C1442"/>
    <w:rsid w:val="19AA764A"/>
    <w:rsid w:val="19C45D91"/>
    <w:rsid w:val="19E846A2"/>
    <w:rsid w:val="1A15003D"/>
    <w:rsid w:val="1A1C1B4D"/>
    <w:rsid w:val="1A483889"/>
    <w:rsid w:val="1A7300A9"/>
    <w:rsid w:val="1A78446C"/>
    <w:rsid w:val="1AE749EA"/>
    <w:rsid w:val="1AF4760E"/>
    <w:rsid w:val="1B317DBC"/>
    <w:rsid w:val="1B5679FF"/>
    <w:rsid w:val="1BB16EF0"/>
    <w:rsid w:val="1BB516AB"/>
    <w:rsid w:val="1BB57A2E"/>
    <w:rsid w:val="1BB82840"/>
    <w:rsid w:val="1C075A8D"/>
    <w:rsid w:val="1C0A1D50"/>
    <w:rsid w:val="1C3C73A1"/>
    <w:rsid w:val="1C837B15"/>
    <w:rsid w:val="1C9E38F3"/>
    <w:rsid w:val="1CC54462"/>
    <w:rsid w:val="1CDE0309"/>
    <w:rsid w:val="1D107D40"/>
    <w:rsid w:val="1D12325D"/>
    <w:rsid w:val="1D4A6446"/>
    <w:rsid w:val="1DDF4D5F"/>
    <w:rsid w:val="1DFA3AA9"/>
    <w:rsid w:val="1E0D4843"/>
    <w:rsid w:val="1E160ECF"/>
    <w:rsid w:val="1E5E0856"/>
    <w:rsid w:val="1E796552"/>
    <w:rsid w:val="1E9008EA"/>
    <w:rsid w:val="1EA615CC"/>
    <w:rsid w:val="1EAB0B8A"/>
    <w:rsid w:val="1EB503A1"/>
    <w:rsid w:val="1ECB6FC8"/>
    <w:rsid w:val="1F156204"/>
    <w:rsid w:val="1F322D52"/>
    <w:rsid w:val="1F667A8C"/>
    <w:rsid w:val="1F6B7200"/>
    <w:rsid w:val="1F73410B"/>
    <w:rsid w:val="1F760D98"/>
    <w:rsid w:val="1F8831E5"/>
    <w:rsid w:val="1F981491"/>
    <w:rsid w:val="1FB01DB5"/>
    <w:rsid w:val="1FC9467B"/>
    <w:rsid w:val="1FC94A1F"/>
    <w:rsid w:val="1FD32EEB"/>
    <w:rsid w:val="200144FA"/>
    <w:rsid w:val="202335B7"/>
    <w:rsid w:val="202E6D4D"/>
    <w:rsid w:val="2053790E"/>
    <w:rsid w:val="207C24A5"/>
    <w:rsid w:val="208F2127"/>
    <w:rsid w:val="20EC7083"/>
    <w:rsid w:val="212A14F9"/>
    <w:rsid w:val="2137106D"/>
    <w:rsid w:val="215E7E5D"/>
    <w:rsid w:val="216A388F"/>
    <w:rsid w:val="217A3487"/>
    <w:rsid w:val="21926490"/>
    <w:rsid w:val="21B27955"/>
    <w:rsid w:val="21E7266C"/>
    <w:rsid w:val="21F369E7"/>
    <w:rsid w:val="2206502A"/>
    <w:rsid w:val="22A42DC2"/>
    <w:rsid w:val="22A76341"/>
    <w:rsid w:val="22BD3775"/>
    <w:rsid w:val="22C57926"/>
    <w:rsid w:val="22EF6736"/>
    <w:rsid w:val="231C5791"/>
    <w:rsid w:val="23203D6C"/>
    <w:rsid w:val="23346C96"/>
    <w:rsid w:val="23720875"/>
    <w:rsid w:val="237717BA"/>
    <w:rsid w:val="23BD5E39"/>
    <w:rsid w:val="23EA674D"/>
    <w:rsid w:val="245427B1"/>
    <w:rsid w:val="245F3EC8"/>
    <w:rsid w:val="246653FA"/>
    <w:rsid w:val="24784801"/>
    <w:rsid w:val="24807567"/>
    <w:rsid w:val="248F0222"/>
    <w:rsid w:val="248F511E"/>
    <w:rsid w:val="24BD3CF2"/>
    <w:rsid w:val="24C216C1"/>
    <w:rsid w:val="24E07339"/>
    <w:rsid w:val="251463B7"/>
    <w:rsid w:val="25933454"/>
    <w:rsid w:val="25CA02A5"/>
    <w:rsid w:val="25CA3651"/>
    <w:rsid w:val="25E37054"/>
    <w:rsid w:val="25EC1132"/>
    <w:rsid w:val="25EE6F67"/>
    <w:rsid w:val="26077B17"/>
    <w:rsid w:val="262872E0"/>
    <w:rsid w:val="2670719F"/>
    <w:rsid w:val="26981314"/>
    <w:rsid w:val="26BD1D6D"/>
    <w:rsid w:val="26C07C61"/>
    <w:rsid w:val="26CE2863"/>
    <w:rsid w:val="26FF37FD"/>
    <w:rsid w:val="27181916"/>
    <w:rsid w:val="273F2F24"/>
    <w:rsid w:val="27430999"/>
    <w:rsid w:val="274D1456"/>
    <w:rsid w:val="27773C2A"/>
    <w:rsid w:val="277B59CE"/>
    <w:rsid w:val="278D6B3C"/>
    <w:rsid w:val="27C70C0D"/>
    <w:rsid w:val="27D832CC"/>
    <w:rsid w:val="27E52BDD"/>
    <w:rsid w:val="284447C2"/>
    <w:rsid w:val="285C6FCD"/>
    <w:rsid w:val="28725ACF"/>
    <w:rsid w:val="2882075D"/>
    <w:rsid w:val="28966821"/>
    <w:rsid w:val="289B4310"/>
    <w:rsid w:val="28BA2CB8"/>
    <w:rsid w:val="29082CCC"/>
    <w:rsid w:val="291B607A"/>
    <w:rsid w:val="29313E87"/>
    <w:rsid w:val="29426521"/>
    <w:rsid w:val="297D36F0"/>
    <w:rsid w:val="29B87811"/>
    <w:rsid w:val="2A216147"/>
    <w:rsid w:val="2A7E284C"/>
    <w:rsid w:val="2A887CA8"/>
    <w:rsid w:val="2ABE4DAD"/>
    <w:rsid w:val="2AE04D55"/>
    <w:rsid w:val="2AE85633"/>
    <w:rsid w:val="2AF90912"/>
    <w:rsid w:val="2B485235"/>
    <w:rsid w:val="2B625EA4"/>
    <w:rsid w:val="2B7B7FD2"/>
    <w:rsid w:val="2BA455A7"/>
    <w:rsid w:val="2BA56C13"/>
    <w:rsid w:val="2BB262B4"/>
    <w:rsid w:val="2BD73DD6"/>
    <w:rsid w:val="2BE8198C"/>
    <w:rsid w:val="2C3415AE"/>
    <w:rsid w:val="2C4A7856"/>
    <w:rsid w:val="2CAF59E8"/>
    <w:rsid w:val="2CDD6D7A"/>
    <w:rsid w:val="2D2712F3"/>
    <w:rsid w:val="2D2F7215"/>
    <w:rsid w:val="2D371E27"/>
    <w:rsid w:val="2D414E13"/>
    <w:rsid w:val="2D434B3E"/>
    <w:rsid w:val="2D5E40F2"/>
    <w:rsid w:val="2DC3390C"/>
    <w:rsid w:val="2DD34AC5"/>
    <w:rsid w:val="2E190A57"/>
    <w:rsid w:val="2E6E0075"/>
    <w:rsid w:val="2E9253F4"/>
    <w:rsid w:val="2EB97853"/>
    <w:rsid w:val="2ECA3C31"/>
    <w:rsid w:val="2EF2744F"/>
    <w:rsid w:val="2EFE6657"/>
    <w:rsid w:val="2F14313C"/>
    <w:rsid w:val="2F2952C2"/>
    <w:rsid w:val="2F491617"/>
    <w:rsid w:val="2F611A2E"/>
    <w:rsid w:val="2F6A110F"/>
    <w:rsid w:val="2F6B31DE"/>
    <w:rsid w:val="2FA971CA"/>
    <w:rsid w:val="3063262C"/>
    <w:rsid w:val="30B375F6"/>
    <w:rsid w:val="30D167B8"/>
    <w:rsid w:val="30E87262"/>
    <w:rsid w:val="30F72779"/>
    <w:rsid w:val="311336C8"/>
    <w:rsid w:val="312C2BF8"/>
    <w:rsid w:val="317F7390"/>
    <w:rsid w:val="31AA6FCD"/>
    <w:rsid w:val="323F57D5"/>
    <w:rsid w:val="324E716C"/>
    <w:rsid w:val="325243BF"/>
    <w:rsid w:val="32AC4140"/>
    <w:rsid w:val="32B82B68"/>
    <w:rsid w:val="32BA530B"/>
    <w:rsid w:val="32C813C1"/>
    <w:rsid w:val="32D90DA1"/>
    <w:rsid w:val="32E9560C"/>
    <w:rsid w:val="32EA7B6C"/>
    <w:rsid w:val="32FE7D91"/>
    <w:rsid w:val="330157E6"/>
    <w:rsid w:val="331D02BA"/>
    <w:rsid w:val="335F22E9"/>
    <w:rsid w:val="33765987"/>
    <w:rsid w:val="337F033B"/>
    <w:rsid w:val="33830F84"/>
    <w:rsid w:val="33920D95"/>
    <w:rsid w:val="33CA15D8"/>
    <w:rsid w:val="34286037"/>
    <w:rsid w:val="3436184A"/>
    <w:rsid w:val="345338EB"/>
    <w:rsid w:val="34644FC3"/>
    <w:rsid w:val="34786D48"/>
    <w:rsid w:val="34A97EBD"/>
    <w:rsid w:val="34B3077F"/>
    <w:rsid w:val="34F1303B"/>
    <w:rsid w:val="351252AF"/>
    <w:rsid w:val="35157474"/>
    <w:rsid w:val="3536653F"/>
    <w:rsid w:val="35890CD7"/>
    <w:rsid w:val="35B057B3"/>
    <w:rsid w:val="35D37429"/>
    <w:rsid w:val="35F62D5C"/>
    <w:rsid w:val="360477EA"/>
    <w:rsid w:val="360B52C7"/>
    <w:rsid w:val="361A7FC2"/>
    <w:rsid w:val="363761F2"/>
    <w:rsid w:val="363C5122"/>
    <w:rsid w:val="3645751A"/>
    <w:rsid w:val="36587929"/>
    <w:rsid w:val="366841B7"/>
    <w:rsid w:val="36B32F97"/>
    <w:rsid w:val="36DD546F"/>
    <w:rsid w:val="370B3A68"/>
    <w:rsid w:val="37323308"/>
    <w:rsid w:val="3761617F"/>
    <w:rsid w:val="37844B1B"/>
    <w:rsid w:val="37B25996"/>
    <w:rsid w:val="37E064B5"/>
    <w:rsid w:val="37F14093"/>
    <w:rsid w:val="380A0D94"/>
    <w:rsid w:val="383B28E8"/>
    <w:rsid w:val="385E347C"/>
    <w:rsid w:val="3880543D"/>
    <w:rsid w:val="389367F9"/>
    <w:rsid w:val="38C84D30"/>
    <w:rsid w:val="38CE2508"/>
    <w:rsid w:val="3928547C"/>
    <w:rsid w:val="394219D8"/>
    <w:rsid w:val="39477AB1"/>
    <w:rsid w:val="394864EC"/>
    <w:rsid w:val="39561987"/>
    <w:rsid w:val="397777DF"/>
    <w:rsid w:val="397A4050"/>
    <w:rsid w:val="39916954"/>
    <w:rsid w:val="39C94C45"/>
    <w:rsid w:val="39DE51F3"/>
    <w:rsid w:val="39E16583"/>
    <w:rsid w:val="39E30DC8"/>
    <w:rsid w:val="39FC20AB"/>
    <w:rsid w:val="3A511DB1"/>
    <w:rsid w:val="3AAC37CA"/>
    <w:rsid w:val="3AAC6084"/>
    <w:rsid w:val="3AAE0A45"/>
    <w:rsid w:val="3ACA5BC7"/>
    <w:rsid w:val="3AEC3987"/>
    <w:rsid w:val="3AF62525"/>
    <w:rsid w:val="3AFF6F97"/>
    <w:rsid w:val="3B225DF2"/>
    <w:rsid w:val="3B6D1E36"/>
    <w:rsid w:val="3BA47F66"/>
    <w:rsid w:val="3BC30BD4"/>
    <w:rsid w:val="3C0A48CC"/>
    <w:rsid w:val="3C382D43"/>
    <w:rsid w:val="3C4375E1"/>
    <w:rsid w:val="3C5979EB"/>
    <w:rsid w:val="3C8C4F07"/>
    <w:rsid w:val="3C9C005D"/>
    <w:rsid w:val="3CA6296A"/>
    <w:rsid w:val="3D097820"/>
    <w:rsid w:val="3D2D37AA"/>
    <w:rsid w:val="3D324851"/>
    <w:rsid w:val="3D396212"/>
    <w:rsid w:val="3D4467FB"/>
    <w:rsid w:val="3D4D3B32"/>
    <w:rsid w:val="3D6418F5"/>
    <w:rsid w:val="3D647360"/>
    <w:rsid w:val="3D932E80"/>
    <w:rsid w:val="3D9D5618"/>
    <w:rsid w:val="3DA01BD9"/>
    <w:rsid w:val="3DDC6851"/>
    <w:rsid w:val="3DE94810"/>
    <w:rsid w:val="3DED757E"/>
    <w:rsid w:val="3DFC02C4"/>
    <w:rsid w:val="3E0055ED"/>
    <w:rsid w:val="3E5742CD"/>
    <w:rsid w:val="3E793F04"/>
    <w:rsid w:val="3E815DB5"/>
    <w:rsid w:val="3EB226C3"/>
    <w:rsid w:val="3ED01DEF"/>
    <w:rsid w:val="3F017F78"/>
    <w:rsid w:val="3F1522B6"/>
    <w:rsid w:val="3F220F1C"/>
    <w:rsid w:val="3F2230CA"/>
    <w:rsid w:val="3F3169A4"/>
    <w:rsid w:val="3F595AB7"/>
    <w:rsid w:val="3FE34B87"/>
    <w:rsid w:val="3FED4DAC"/>
    <w:rsid w:val="4004678E"/>
    <w:rsid w:val="400A1476"/>
    <w:rsid w:val="40162DDF"/>
    <w:rsid w:val="40281B4F"/>
    <w:rsid w:val="40311392"/>
    <w:rsid w:val="40461588"/>
    <w:rsid w:val="4078543B"/>
    <w:rsid w:val="407F0ED1"/>
    <w:rsid w:val="408715F9"/>
    <w:rsid w:val="408D6BA0"/>
    <w:rsid w:val="40AB6B5F"/>
    <w:rsid w:val="40B37314"/>
    <w:rsid w:val="40BA462E"/>
    <w:rsid w:val="40BF3280"/>
    <w:rsid w:val="40D47D82"/>
    <w:rsid w:val="40E4647B"/>
    <w:rsid w:val="40E90D06"/>
    <w:rsid w:val="40F93CF5"/>
    <w:rsid w:val="410C7A58"/>
    <w:rsid w:val="413C5839"/>
    <w:rsid w:val="415206A7"/>
    <w:rsid w:val="41B61B69"/>
    <w:rsid w:val="421D7EF2"/>
    <w:rsid w:val="425A3B68"/>
    <w:rsid w:val="42967DBD"/>
    <w:rsid w:val="42B96270"/>
    <w:rsid w:val="42C94FE6"/>
    <w:rsid w:val="42FD161C"/>
    <w:rsid w:val="433A7877"/>
    <w:rsid w:val="434606A0"/>
    <w:rsid w:val="438177AD"/>
    <w:rsid w:val="440062AE"/>
    <w:rsid w:val="444674C7"/>
    <w:rsid w:val="444A59A7"/>
    <w:rsid w:val="4450671C"/>
    <w:rsid w:val="44641E40"/>
    <w:rsid w:val="446E541F"/>
    <w:rsid w:val="44872C7A"/>
    <w:rsid w:val="44D34C22"/>
    <w:rsid w:val="44D44021"/>
    <w:rsid w:val="44DE0E29"/>
    <w:rsid w:val="44DF7FB7"/>
    <w:rsid w:val="45026908"/>
    <w:rsid w:val="45201213"/>
    <w:rsid w:val="452A0566"/>
    <w:rsid w:val="4568218D"/>
    <w:rsid w:val="45B24B52"/>
    <w:rsid w:val="45B368E8"/>
    <w:rsid w:val="45CA75FE"/>
    <w:rsid w:val="45DB1DC7"/>
    <w:rsid w:val="45E04C22"/>
    <w:rsid w:val="46335500"/>
    <w:rsid w:val="46455FCC"/>
    <w:rsid w:val="464676D9"/>
    <w:rsid w:val="464A7615"/>
    <w:rsid w:val="468B5AB2"/>
    <w:rsid w:val="46C70954"/>
    <w:rsid w:val="46DE0865"/>
    <w:rsid w:val="46F71632"/>
    <w:rsid w:val="47040B2B"/>
    <w:rsid w:val="472A140C"/>
    <w:rsid w:val="472B20AF"/>
    <w:rsid w:val="47783460"/>
    <w:rsid w:val="47981C1B"/>
    <w:rsid w:val="47A80A96"/>
    <w:rsid w:val="47AA1CF3"/>
    <w:rsid w:val="47D0548C"/>
    <w:rsid w:val="47E745C4"/>
    <w:rsid w:val="47FF3579"/>
    <w:rsid w:val="480277E3"/>
    <w:rsid w:val="481931D6"/>
    <w:rsid w:val="48C43F81"/>
    <w:rsid w:val="48DC784A"/>
    <w:rsid w:val="48F042DE"/>
    <w:rsid w:val="4900435B"/>
    <w:rsid w:val="49140959"/>
    <w:rsid w:val="49440F53"/>
    <w:rsid w:val="496431E6"/>
    <w:rsid w:val="49896748"/>
    <w:rsid w:val="49CF3558"/>
    <w:rsid w:val="49D40870"/>
    <w:rsid w:val="49FF6D6B"/>
    <w:rsid w:val="4A663235"/>
    <w:rsid w:val="4AD11B99"/>
    <w:rsid w:val="4B5A4D68"/>
    <w:rsid w:val="4B6D7C20"/>
    <w:rsid w:val="4B9306BF"/>
    <w:rsid w:val="4C1E7531"/>
    <w:rsid w:val="4C2F484A"/>
    <w:rsid w:val="4C3150FA"/>
    <w:rsid w:val="4C764741"/>
    <w:rsid w:val="4C8A1629"/>
    <w:rsid w:val="4C9C116D"/>
    <w:rsid w:val="4CF84D51"/>
    <w:rsid w:val="4D154EEC"/>
    <w:rsid w:val="4D1573B9"/>
    <w:rsid w:val="4D423818"/>
    <w:rsid w:val="4D433D0A"/>
    <w:rsid w:val="4D4D6F09"/>
    <w:rsid w:val="4D9E3684"/>
    <w:rsid w:val="4DA6337C"/>
    <w:rsid w:val="4DB96C4C"/>
    <w:rsid w:val="4DD16E44"/>
    <w:rsid w:val="4DD24219"/>
    <w:rsid w:val="4E8A04D2"/>
    <w:rsid w:val="4EA274A3"/>
    <w:rsid w:val="4EE60189"/>
    <w:rsid w:val="4F36654E"/>
    <w:rsid w:val="4F3E01B5"/>
    <w:rsid w:val="4F43520D"/>
    <w:rsid w:val="4F5C4704"/>
    <w:rsid w:val="4F744EBC"/>
    <w:rsid w:val="4F996F90"/>
    <w:rsid w:val="4FC7466D"/>
    <w:rsid w:val="4FDA552D"/>
    <w:rsid w:val="4FE15C2D"/>
    <w:rsid w:val="4FEC2ADB"/>
    <w:rsid w:val="500B7BEE"/>
    <w:rsid w:val="506652C7"/>
    <w:rsid w:val="50782BCC"/>
    <w:rsid w:val="508C5A8C"/>
    <w:rsid w:val="50A8035D"/>
    <w:rsid w:val="50C11448"/>
    <w:rsid w:val="50D150DF"/>
    <w:rsid w:val="50E10EB7"/>
    <w:rsid w:val="50EF3627"/>
    <w:rsid w:val="51191D63"/>
    <w:rsid w:val="51573664"/>
    <w:rsid w:val="519009EB"/>
    <w:rsid w:val="51AD5D68"/>
    <w:rsid w:val="51D4175E"/>
    <w:rsid w:val="52463068"/>
    <w:rsid w:val="5262069B"/>
    <w:rsid w:val="52D147CB"/>
    <w:rsid w:val="53024A9C"/>
    <w:rsid w:val="53027BCD"/>
    <w:rsid w:val="531B5794"/>
    <w:rsid w:val="531D439B"/>
    <w:rsid w:val="5336613A"/>
    <w:rsid w:val="539A44E4"/>
    <w:rsid w:val="53A839DF"/>
    <w:rsid w:val="53E33ECA"/>
    <w:rsid w:val="5448571B"/>
    <w:rsid w:val="548F1C22"/>
    <w:rsid w:val="54964F90"/>
    <w:rsid w:val="54C63CBD"/>
    <w:rsid w:val="54DB3FE8"/>
    <w:rsid w:val="54F51776"/>
    <w:rsid w:val="551274EF"/>
    <w:rsid w:val="55320993"/>
    <w:rsid w:val="55552AF8"/>
    <w:rsid w:val="5567366E"/>
    <w:rsid w:val="556E7075"/>
    <w:rsid w:val="559E3950"/>
    <w:rsid w:val="55B43D9B"/>
    <w:rsid w:val="55BA080A"/>
    <w:rsid w:val="56102A95"/>
    <w:rsid w:val="563808B0"/>
    <w:rsid w:val="566E6899"/>
    <w:rsid w:val="568A530D"/>
    <w:rsid w:val="569F0135"/>
    <w:rsid w:val="56AC5145"/>
    <w:rsid w:val="56BD358A"/>
    <w:rsid w:val="57087CB7"/>
    <w:rsid w:val="570B79DB"/>
    <w:rsid w:val="573023FD"/>
    <w:rsid w:val="5749447A"/>
    <w:rsid w:val="57555AAB"/>
    <w:rsid w:val="57615CDD"/>
    <w:rsid w:val="57656B78"/>
    <w:rsid w:val="576B3D5F"/>
    <w:rsid w:val="579F7C13"/>
    <w:rsid w:val="57B15A66"/>
    <w:rsid w:val="57C1118A"/>
    <w:rsid w:val="58160587"/>
    <w:rsid w:val="58183DD8"/>
    <w:rsid w:val="585005AA"/>
    <w:rsid w:val="58AB4287"/>
    <w:rsid w:val="58CD4FF7"/>
    <w:rsid w:val="58DF407A"/>
    <w:rsid w:val="58E309C5"/>
    <w:rsid w:val="58FA7041"/>
    <w:rsid w:val="590211D8"/>
    <w:rsid w:val="59313315"/>
    <w:rsid w:val="593577E4"/>
    <w:rsid w:val="59367B0D"/>
    <w:rsid w:val="5947471F"/>
    <w:rsid w:val="597707DB"/>
    <w:rsid w:val="597C23DF"/>
    <w:rsid w:val="59857C71"/>
    <w:rsid w:val="59C15FEC"/>
    <w:rsid w:val="59CC43BA"/>
    <w:rsid w:val="59DE758C"/>
    <w:rsid w:val="59E40448"/>
    <w:rsid w:val="59EF7BEF"/>
    <w:rsid w:val="59FA1269"/>
    <w:rsid w:val="5A056C9D"/>
    <w:rsid w:val="5A1E5ABF"/>
    <w:rsid w:val="5A2756B9"/>
    <w:rsid w:val="5A4810F7"/>
    <w:rsid w:val="5A586F6D"/>
    <w:rsid w:val="5A9F73FF"/>
    <w:rsid w:val="5AC17323"/>
    <w:rsid w:val="5AD856B4"/>
    <w:rsid w:val="5B0435B5"/>
    <w:rsid w:val="5B074E06"/>
    <w:rsid w:val="5B1B5DE2"/>
    <w:rsid w:val="5B2D3FFF"/>
    <w:rsid w:val="5B6E05CE"/>
    <w:rsid w:val="5B9049BC"/>
    <w:rsid w:val="5B943004"/>
    <w:rsid w:val="5B9B3518"/>
    <w:rsid w:val="5BA25164"/>
    <w:rsid w:val="5BD53155"/>
    <w:rsid w:val="5BDD69BB"/>
    <w:rsid w:val="5BF92ECB"/>
    <w:rsid w:val="5C612CEF"/>
    <w:rsid w:val="5C625AC3"/>
    <w:rsid w:val="5C9354C5"/>
    <w:rsid w:val="5CC97F68"/>
    <w:rsid w:val="5CD230CC"/>
    <w:rsid w:val="5CD9522E"/>
    <w:rsid w:val="5D1239C9"/>
    <w:rsid w:val="5D2A25AC"/>
    <w:rsid w:val="5D49443A"/>
    <w:rsid w:val="5D620EDD"/>
    <w:rsid w:val="5D837C46"/>
    <w:rsid w:val="5E611C02"/>
    <w:rsid w:val="5E6612CB"/>
    <w:rsid w:val="5E734C97"/>
    <w:rsid w:val="5EC60990"/>
    <w:rsid w:val="5ED21D23"/>
    <w:rsid w:val="5ED435DF"/>
    <w:rsid w:val="5EF4030A"/>
    <w:rsid w:val="5F16465C"/>
    <w:rsid w:val="5F601B11"/>
    <w:rsid w:val="5FB367FC"/>
    <w:rsid w:val="5FE36A4D"/>
    <w:rsid w:val="5FF476B2"/>
    <w:rsid w:val="60014A62"/>
    <w:rsid w:val="600C2D22"/>
    <w:rsid w:val="60141B3B"/>
    <w:rsid w:val="603E5438"/>
    <w:rsid w:val="606458BF"/>
    <w:rsid w:val="606603C6"/>
    <w:rsid w:val="60770628"/>
    <w:rsid w:val="60A41CE5"/>
    <w:rsid w:val="60BB10B3"/>
    <w:rsid w:val="60BD7951"/>
    <w:rsid w:val="60CC2D5B"/>
    <w:rsid w:val="61313CA4"/>
    <w:rsid w:val="614C0156"/>
    <w:rsid w:val="615D45C4"/>
    <w:rsid w:val="618670C1"/>
    <w:rsid w:val="618F7D7B"/>
    <w:rsid w:val="61980C2F"/>
    <w:rsid w:val="61BF563E"/>
    <w:rsid w:val="61C754D0"/>
    <w:rsid w:val="61C81CE4"/>
    <w:rsid w:val="61D3287E"/>
    <w:rsid w:val="61EC7A0E"/>
    <w:rsid w:val="61F113EA"/>
    <w:rsid w:val="62197838"/>
    <w:rsid w:val="621F3689"/>
    <w:rsid w:val="622D7D93"/>
    <w:rsid w:val="623C1F8B"/>
    <w:rsid w:val="62540E22"/>
    <w:rsid w:val="62733204"/>
    <w:rsid w:val="627C073F"/>
    <w:rsid w:val="62E21058"/>
    <w:rsid w:val="62E86830"/>
    <w:rsid w:val="634F1CBB"/>
    <w:rsid w:val="6399468A"/>
    <w:rsid w:val="63C11296"/>
    <w:rsid w:val="63CC034D"/>
    <w:rsid w:val="63D82786"/>
    <w:rsid w:val="643268A9"/>
    <w:rsid w:val="644C0984"/>
    <w:rsid w:val="648462D8"/>
    <w:rsid w:val="649E660C"/>
    <w:rsid w:val="64A03A25"/>
    <w:rsid w:val="64AA52B1"/>
    <w:rsid w:val="64B00E76"/>
    <w:rsid w:val="650342D3"/>
    <w:rsid w:val="651037BD"/>
    <w:rsid w:val="651202B7"/>
    <w:rsid w:val="651E3D9C"/>
    <w:rsid w:val="654B1FB8"/>
    <w:rsid w:val="65541163"/>
    <w:rsid w:val="65590646"/>
    <w:rsid w:val="65616A1B"/>
    <w:rsid w:val="6567063C"/>
    <w:rsid w:val="65D0266F"/>
    <w:rsid w:val="65E81124"/>
    <w:rsid w:val="660429AF"/>
    <w:rsid w:val="6623707B"/>
    <w:rsid w:val="66250036"/>
    <w:rsid w:val="66343120"/>
    <w:rsid w:val="66620540"/>
    <w:rsid w:val="66746959"/>
    <w:rsid w:val="667B5F2E"/>
    <w:rsid w:val="66AE796A"/>
    <w:rsid w:val="670821D0"/>
    <w:rsid w:val="6778339B"/>
    <w:rsid w:val="67AD3A9F"/>
    <w:rsid w:val="68000FF8"/>
    <w:rsid w:val="680C4DD6"/>
    <w:rsid w:val="684F2052"/>
    <w:rsid w:val="68BA1BF2"/>
    <w:rsid w:val="68C1463A"/>
    <w:rsid w:val="68C731D4"/>
    <w:rsid w:val="68D857D1"/>
    <w:rsid w:val="69061AB7"/>
    <w:rsid w:val="691B6F23"/>
    <w:rsid w:val="694E29F0"/>
    <w:rsid w:val="6961689C"/>
    <w:rsid w:val="697A4800"/>
    <w:rsid w:val="697F643A"/>
    <w:rsid w:val="699200C3"/>
    <w:rsid w:val="69CA7529"/>
    <w:rsid w:val="69D02BBD"/>
    <w:rsid w:val="69D95E45"/>
    <w:rsid w:val="69DD19CF"/>
    <w:rsid w:val="69EF14B7"/>
    <w:rsid w:val="69F171A6"/>
    <w:rsid w:val="6A29523E"/>
    <w:rsid w:val="6A3D5056"/>
    <w:rsid w:val="6A6F249D"/>
    <w:rsid w:val="6A7442F3"/>
    <w:rsid w:val="6ABC61D5"/>
    <w:rsid w:val="6AC407A6"/>
    <w:rsid w:val="6AC8452F"/>
    <w:rsid w:val="6B03247D"/>
    <w:rsid w:val="6B242DC9"/>
    <w:rsid w:val="6B6972A2"/>
    <w:rsid w:val="6B742D20"/>
    <w:rsid w:val="6B744046"/>
    <w:rsid w:val="6B8731E3"/>
    <w:rsid w:val="6B8F60C3"/>
    <w:rsid w:val="6BDD30C0"/>
    <w:rsid w:val="6C263A98"/>
    <w:rsid w:val="6C526B6F"/>
    <w:rsid w:val="6C5706CF"/>
    <w:rsid w:val="6CED6FD0"/>
    <w:rsid w:val="6CFB2479"/>
    <w:rsid w:val="6D117852"/>
    <w:rsid w:val="6D2A5419"/>
    <w:rsid w:val="6D2B5930"/>
    <w:rsid w:val="6D4C21AE"/>
    <w:rsid w:val="6D5B47BB"/>
    <w:rsid w:val="6D5D4C1D"/>
    <w:rsid w:val="6D7333F2"/>
    <w:rsid w:val="6DAA4D3A"/>
    <w:rsid w:val="6DBC6A94"/>
    <w:rsid w:val="6DC275D6"/>
    <w:rsid w:val="6DC72F72"/>
    <w:rsid w:val="6DCE2F34"/>
    <w:rsid w:val="6E363C8B"/>
    <w:rsid w:val="6E3D5AA2"/>
    <w:rsid w:val="6E447901"/>
    <w:rsid w:val="6E5804D0"/>
    <w:rsid w:val="6E825ED4"/>
    <w:rsid w:val="6E883B4E"/>
    <w:rsid w:val="6EA25770"/>
    <w:rsid w:val="6EC14B8D"/>
    <w:rsid w:val="6EC548E6"/>
    <w:rsid w:val="6ED73886"/>
    <w:rsid w:val="6EE13E19"/>
    <w:rsid w:val="6EE46054"/>
    <w:rsid w:val="6EEF4869"/>
    <w:rsid w:val="6EF14026"/>
    <w:rsid w:val="6F345E88"/>
    <w:rsid w:val="6F3D3B68"/>
    <w:rsid w:val="6F610087"/>
    <w:rsid w:val="6F6A06BA"/>
    <w:rsid w:val="6F7345EE"/>
    <w:rsid w:val="6F8514B3"/>
    <w:rsid w:val="6FD8432D"/>
    <w:rsid w:val="6FDA67D5"/>
    <w:rsid w:val="700C42EF"/>
    <w:rsid w:val="702623E5"/>
    <w:rsid w:val="705535B6"/>
    <w:rsid w:val="70614D1A"/>
    <w:rsid w:val="708A487B"/>
    <w:rsid w:val="70B723B2"/>
    <w:rsid w:val="70FF1FD2"/>
    <w:rsid w:val="710E37CC"/>
    <w:rsid w:val="7114519D"/>
    <w:rsid w:val="71316936"/>
    <w:rsid w:val="714448FB"/>
    <w:rsid w:val="71523530"/>
    <w:rsid w:val="71607472"/>
    <w:rsid w:val="71870171"/>
    <w:rsid w:val="719558F7"/>
    <w:rsid w:val="71F34DBF"/>
    <w:rsid w:val="71FA167E"/>
    <w:rsid w:val="721633CB"/>
    <w:rsid w:val="722800B9"/>
    <w:rsid w:val="7233531E"/>
    <w:rsid w:val="726579E0"/>
    <w:rsid w:val="7292064D"/>
    <w:rsid w:val="72B76A19"/>
    <w:rsid w:val="72DD3F5B"/>
    <w:rsid w:val="730E78A1"/>
    <w:rsid w:val="731B059A"/>
    <w:rsid w:val="73293F36"/>
    <w:rsid w:val="73295D31"/>
    <w:rsid w:val="737A3692"/>
    <w:rsid w:val="73837192"/>
    <w:rsid w:val="73B3232C"/>
    <w:rsid w:val="73C04646"/>
    <w:rsid w:val="73F11F6F"/>
    <w:rsid w:val="73F4412C"/>
    <w:rsid w:val="73FD4415"/>
    <w:rsid w:val="7405153E"/>
    <w:rsid w:val="740C2B40"/>
    <w:rsid w:val="74195B3F"/>
    <w:rsid w:val="74266A34"/>
    <w:rsid w:val="74352FCD"/>
    <w:rsid w:val="74394FDE"/>
    <w:rsid w:val="74471859"/>
    <w:rsid w:val="747770DC"/>
    <w:rsid w:val="747E08D3"/>
    <w:rsid w:val="74831D7E"/>
    <w:rsid w:val="748B2184"/>
    <w:rsid w:val="74BB5980"/>
    <w:rsid w:val="74F978F8"/>
    <w:rsid w:val="74FF7F1D"/>
    <w:rsid w:val="7524634D"/>
    <w:rsid w:val="75272BB1"/>
    <w:rsid w:val="75741BFA"/>
    <w:rsid w:val="75C96E65"/>
    <w:rsid w:val="75CF581E"/>
    <w:rsid w:val="764B22CD"/>
    <w:rsid w:val="766526EF"/>
    <w:rsid w:val="766F34AF"/>
    <w:rsid w:val="76BC211D"/>
    <w:rsid w:val="76CA449B"/>
    <w:rsid w:val="76D650BA"/>
    <w:rsid w:val="76FB6915"/>
    <w:rsid w:val="77070412"/>
    <w:rsid w:val="771E3AB0"/>
    <w:rsid w:val="77406635"/>
    <w:rsid w:val="7741031E"/>
    <w:rsid w:val="7762506F"/>
    <w:rsid w:val="77A92736"/>
    <w:rsid w:val="77B108DF"/>
    <w:rsid w:val="77B500DD"/>
    <w:rsid w:val="77B92E99"/>
    <w:rsid w:val="77CB3946"/>
    <w:rsid w:val="77D62329"/>
    <w:rsid w:val="77FC4C8F"/>
    <w:rsid w:val="7819741F"/>
    <w:rsid w:val="78377FEF"/>
    <w:rsid w:val="78381B91"/>
    <w:rsid w:val="783E1298"/>
    <w:rsid w:val="78405C3B"/>
    <w:rsid w:val="78560E8F"/>
    <w:rsid w:val="785C61A6"/>
    <w:rsid w:val="78962919"/>
    <w:rsid w:val="78DE2C25"/>
    <w:rsid w:val="790D79F0"/>
    <w:rsid w:val="79102491"/>
    <w:rsid w:val="791D0B30"/>
    <w:rsid w:val="792F4B5F"/>
    <w:rsid w:val="79483FA3"/>
    <w:rsid w:val="79D177D8"/>
    <w:rsid w:val="7A1A2607"/>
    <w:rsid w:val="7A964ACF"/>
    <w:rsid w:val="7A9E487F"/>
    <w:rsid w:val="7AB9498C"/>
    <w:rsid w:val="7ACF13E6"/>
    <w:rsid w:val="7AD746D0"/>
    <w:rsid w:val="7AFC3768"/>
    <w:rsid w:val="7B0368BE"/>
    <w:rsid w:val="7B2945C1"/>
    <w:rsid w:val="7B307D06"/>
    <w:rsid w:val="7B711303"/>
    <w:rsid w:val="7B716CE0"/>
    <w:rsid w:val="7B837F50"/>
    <w:rsid w:val="7B863389"/>
    <w:rsid w:val="7B892AE9"/>
    <w:rsid w:val="7BF24ABC"/>
    <w:rsid w:val="7C2443DD"/>
    <w:rsid w:val="7C27225C"/>
    <w:rsid w:val="7C2942A4"/>
    <w:rsid w:val="7C3003CE"/>
    <w:rsid w:val="7C393E3B"/>
    <w:rsid w:val="7C606B5A"/>
    <w:rsid w:val="7CB34241"/>
    <w:rsid w:val="7CD44334"/>
    <w:rsid w:val="7CE400ED"/>
    <w:rsid w:val="7D1F3866"/>
    <w:rsid w:val="7D2830B7"/>
    <w:rsid w:val="7D59514C"/>
    <w:rsid w:val="7D5A4192"/>
    <w:rsid w:val="7D5B7A50"/>
    <w:rsid w:val="7D5F48BE"/>
    <w:rsid w:val="7D685778"/>
    <w:rsid w:val="7D731BDF"/>
    <w:rsid w:val="7DB634C2"/>
    <w:rsid w:val="7DC84303"/>
    <w:rsid w:val="7DC84A0C"/>
    <w:rsid w:val="7DCB7C1A"/>
    <w:rsid w:val="7E1B0E20"/>
    <w:rsid w:val="7E2D429D"/>
    <w:rsid w:val="7E3C6BFF"/>
    <w:rsid w:val="7E5F2BF4"/>
    <w:rsid w:val="7E683709"/>
    <w:rsid w:val="7E9B1AAE"/>
    <w:rsid w:val="7EAF0143"/>
    <w:rsid w:val="7EB645FF"/>
    <w:rsid w:val="7F010234"/>
    <w:rsid w:val="7F0D2A41"/>
    <w:rsid w:val="7F4B6BCC"/>
    <w:rsid w:val="7F510C93"/>
    <w:rsid w:val="7F904574"/>
    <w:rsid w:val="7FA340F7"/>
    <w:rsid w:val="7FB45ECB"/>
    <w:rsid w:val="7FC40876"/>
    <w:rsid w:val="7FDE2203"/>
    <w:rsid w:val="7FF44F28"/>
    <w:rsid w:val="7FFC3F87"/>
    <w:rsid w:val="7FFC5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nhideWhenUsed="0" w:uiPriority="0" w:name="table of authorities"/>
    <w:lsdException w:uiPriority="99" w:name="macro"/>
    <w:lsdException w:uiPriority="99" w:name="toa heading"/>
    <w:lsdException w:qFormat="1" w:unhideWhenUsed="0" w:uiPriority="0" w:semiHidden="0" w:name="List"/>
    <w:lsdException w:uiPriority="99" w:name="List Bullet"/>
    <w:lsdException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92"/>
    <w:qFormat/>
    <w:uiPriority w:val="0"/>
    <w:pPr>
      <w:keepNext/>
      <w:keepLines/>
      <w:spacing w:before="340" w:after="330" w:line="576" w:lineRule="auto"/>
      <w:outlineLvl w:val="0"/>
    </w:pPr>
    <w:rPr>
      <w:rFonts w:ascii="Times New Roman" w:hAnsi="Times New Roman" w:eastAsia="宋体"/>
      <w:b/>
      <w:bCs/>
      <w:kern w:val="44"/>
      <w:sz w:val="36"/>
      <w:szCs w:val="44"/>
    </w:rPr>
  </w:style>
  <w:style w:type="paragraph" w:styleId="3">
    <w:name w:val="heading 2"/>
    <w:basedOn w:val="1"/>
    <w:next w:val="1"/>
    <w:link w:val="96"/>
    <w:autoRedefine/>
    <w:qFormat/>
    <w:uiPriority w:val="0"/>
    <w:pPr>
      <w:keepNext/>
      <w:keepLines/>
      <w:spacing w:before="260" w:after="260" w:line="413" w:lineRule="auto"/>
      <w:outlineLvl w:val="1"/>
    </w:pPr>
    <w:rPr>
      <w:rFonts w:ascii="Times New Roman" w:hAnsi="Times New Roman" w:eastAsia="宋体"/>
      <w:b/>
      <w:kern w:val="0"/>
      <w:sz w:val="32"/>
    </w:rPr>
  </w:style>
  <w:style w:type="paragraph" w:styleId="4">
    <w:name w:val="heading 3"/>
    <w:basedOn w:val="1"/>
    <w:next w:val="1"/>
    <w:link w:val="86"/>
    <w:qFormat/>
    <w:uiPriority w:val="0"/>
    <w:pPr>
      <w:keepNext/>
      <w:keepLines/>
      <w:spacing w:before="260" w:after="260" w:line="360" w:lineRule="auto"/>
      <w:outlineLvl w:val="2"/>
    </w:pPr>
    <w:rPr>
      <w:rFonts w:ascii="Times New Roman" w:hAnsi="Times New Roman" w:eastAsia="宋体"/>
      <w:b/>
      <w:bCs/>
      <w:kern w:val="0"/>
      <w:sz w:val="30"/>
      <w:szCs w:val="32"/>
    </w:rPr>
  </w:style>
  <w:style w:type="paragraph" w:styleId="5">
    <w:name w:val="heading 4"/>
    <w:basedOn w:val="1"/>
    <w:next w:val="1"/>
    <w:link w:val="88"/>
    <w:autoRedefine/>
    <w:qFormat/>
    <w:uiPriority w:val="0"/>
    <w:pPr>
      <w:keepNext/>
      <w:keepLines/>
      <w:spacing w:before="280" w:after="290" w:line="376" w:lineRule="auto"/>
      <w:outlineLvl w:val="3"/>
    </w:pPr>
    <w:rPr>
      <w:rFonts w:ascii="Times New Roman" w:hAnsi="Times New Roman" w:eastAsia="宋体"/>
      <w:b/>
      <w:bCs/>
      <w:kern w:val="0"/>
      <w:szCs w:val="28"/>
    </w:rPr>
  </w:style>
  <w:style w:type="paragraph" w:styleId="6">
    <w:name w:val="heading 5"/>
    <w:basedOn w:val="1"/>
    <w:next w:val="1"/>
    <w:link w:val="351"/>
    <w:autoRedefine/>
    <w:qFormat/>
    <w:uiPriority w:val="0"/>
    <w:pPr>
      <w:keepNext/>
      <w:keepLines/>
      <w:adjustRightInd w:val="0"/>
      <w:spacing w:before="280" w:after="290" w:line="376" w:lineRule="atLeast"/>
      <w:outlineLvl w:val="4"/>
    </w:pPr>
    <w:rPr>
      <w:rFonts w:ascii="Times New Roman" w:hAnsi="Times New Roman" w:eastAsia="宋体" w:cs="Times New Roman"/>
      <w:b/>
      <w:kern w:val="0"/>
      <w:sz w:val="28"/>
      <w:szCs w:val="20"/>
    </w:rPr>
  </w:style>
  <w:style w:type="paragraph" w:styleId="7">
    <w:name w:val="heading 6"/>
    <w:basedOn w:val="1"/>
    <w:next w:val="1"/>
    <w:link w:val="352"/>
    <w:qFormat/>
    <w:uiPriority w:val="9"/>
    <w:pPr>
      <w:keepNext/>
      <w:keepLines/>
      <w:adjustRightInd w:val="0"/>
      <w:spacing w:before="240" w:after="64" w:line="320" w:lineRule="atLeast"/>
      <w:outlineLvl w:val="5"/>
    </w:pPr>
    <w:rPr>
      <w:rFonts w:ascii="Arial" w:hAnsi="Arial" w:eastAsia="黑体" w:cs="Times New Roman"/>
      <w:b/>
      <w:kern w:val="0"/>
      <w:szCs w:val="20"/>
    </w:rPr>
  </w:style>
  <w:style w:type="paragraph" w:styleId="8">
    <w:name w:val="heading 7"/>
    <w:basedOn w:val="1"/>
    <w:next w:val="1"/>
    <w:link w:val="353"/>
    <w:qFormat/>
    <w:uiPriority w:val="9"/>
    <w:pPr>
      <w:keepNext/>
      <w:keepLines/>
      <w:adjustRightInd w:val="0"/>
      <w:spacing w:before="240" w:after="64" w:line="320" w:lineRule="atLeast"/>
      <w:outlineLvl w:val="6"/>
    </w:pPr>
    <w:rPr>
      <w:rFonts w:ascii="Times New Roman" w:hAnsi="Times New Roman" w:eastAsia="宋体" w:cs="Times New Roman"/>
      <w:b/>
      <w:kern w:val="0"/>
      <w:szCs w:val="20"/>
    </w:rPr>
  </w:style>
  <w:style w:type="paragraph" w:styleId="9">
    <w:name w:val="heading 8"/>
    <w:basedOn w:val="1"/>
    <w:next w:val="1"/>
    <w:link w:val="354"/>
    <w:qFormat/>
    <w:uiPriority w:val="9"/>
    <w:pPr>
      <w:keepNext/>
      <w:keepLines/>
      <w:adjustRightInd w:val="0"/>
      <w:spacing w:before="240" w:after="64" w:line="320" w:lineRule="atLeast"/>
      <w:outlineLvl w:val="7"/>
    </w:pPr>
    <w:rPr>
      <w:rFonts w:ascii="Arial" w:hAnsi="Arial" w:eastAsia="黑体" w:cs="Times New Roman"/>
      <w:kern w:val="0"/>
      <w:szCs w:val="20"/>
    </w:rPr>
  </w:style>
  <w:style w:type="paragraph" w:styleId="10">
    <w:name w:val="heading 9"/>
    <w:basedOn w:val="1"/>
    <w:next w:val="1"/>
    <w:link w:val="355"/>
    <w:autoRedefine/>
    <w:qFormat/>
    <w:uiPriority w:val="9"/>
    <w:pPr>
      <w:keepNext/>
      <w:keepLines/>
      <w:adjustRightInd w:val="0"/>
      <w:spacing w:before="240" w:after="64" w:line="320" w:lineRule="atLeast"/>
      <w:outlineLvl w:val="8"/>
    </w:pPr>
    <w:rPr>
      <w:rFonts w:ascii="Arial" w:hAnsi="Arial" w:eastAsia="黑体" w:cs="Times New Roman"/>
      <w:kern w:val="0"/>
      <w:sz w:val="21"/>
      <w:szCs w:val="20"/>
    </w:rPr>
  </w:style>
  <w:style w:type="character" w:default="1" w:styleId="51">
    <w:name w:val="Default Paragraph Font"/>
    <w:semiHidden/>
    <w:unhideWhenUsed/>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iPriority w:val="39"/>
    <w:pPr>
      <w:spacing w:line="360" w:lineRule="auto"/>
      <w:ind w:left="2520" w:leftChars="1200"/>
    </w:pPr>
    <w:rPr>
      <w:rFonts w:ascii="Times New Roman" w:hAnsi="Times New Roman" w:eastAsia="宋体" w:cs="Times New Roman"/>
      <w:sz w:val="28"/>
      <w:szCs w:val="28"/>
    </w:rPr>
  </w:style>
  <w:style w:type="paragraph" w:styleId="12">
    <w:name w:val="table of authorities"/>
    <w:basedOn w:val="1"/>
    <w:next w:val="1"/>
    <w:semiHidden/>
    <w:uiPriority w:val="0"/>
    <w:rPr>
      <w:rFonts w:ascii="宋体" w:hAnsi="Times New Roman" w:eastAsia="宋体" w:cs="宋体"/>
      <w:sz w:val="28"/>
      <w:szCs w:val="28"/>
    </w:rPr>
  </w:style>
  <w:style w:type="paragraph" w:styleId="13">
    <w:name w:val="List Number"/>
    <w:basedOn w:val="1"/>
    <w:uiPriority w:val="0"/>
    <w:pPr>
      <w:tabs>
        <w:tab w:val="left" w:pos="930"/>
      </w:tabs>
      <w:spacing w:line="460" w:lineRule="exact"/>
      <w:ind w:left="930" w:hanging="360" w:firstLineChars="200"/>
    </w:pPr>
    <w:rPr>
      <w:rFonts w:ascii="Times New Roman" w:hAnsi="Times New Roman" w:eastAsia="宋体" w:cs="Times New Roman"/>
      <w:sz w:val="26"/>
    </w:rPr>
  </w:style>
  <w:style w:type="paragraph" w:styleId="14">
    <w:name w:val="Normal Indent"/>
    <w:basedOn w:val="1"/>
    <w:link w:val="85"/>
    <w:autoRedefine/>
    <w:qFormat/>
    <w:uiPriority w:val="0"/>
    <w:pPr>
      <w:ind w:firstLine="420" w:firstLineChars="200"/>
    </w:pPr>
    <w:rPr>
      <w:kern w:val="0"/>
      <w:sz w:val="20"/>
    </w:rPr>
  </w:style>
  <w:style w:type="paragraph" w:styleId="15">
    <w:name w:val="Document Map"/>
    <w:basedOn w:val="1"/>
    <w:link w:val="93"/>
    <w:unhideWhenUsed/>
    <w:qFormat/>
    <w:uiPriority w:val="0"/>
    <w:rPr>
      <w:rFonts w:ascii="宋体"/>
      <w:sz w:val="18"/>
      <w:szCs w:val="18"/>
    </w:rPr>
  </w:style>
  <w:style w:type="paragraph" w:styleId="16">
    <w:name w:val="annotation text"/>
    <w:basedOn w:val="1"/>
    <w:link w:val="97"/>
    <w:autoRedefine/>
    <w:unhideWhenUsed/>
    <w:qFormat/>
    <w:uiPriority w:val="0"/>
    <w:pPr>
      <w:jc w:val="left"/>
    </w:pPr>
  </w:style>
  <w:style w:type="paragraph" w:styleId="17">
    <w:name w:val="Body Text 3"/>
    <w:basedOn w:val="1"/>
    <w:link w:val="367"/>
    <w:autoRedefine/>
    <w:qFormat/>
    <w:uiPriority w:val="0"/>
    <w:pPr>
      <w:spacing w:after="120"/>
    </w:pPr>
    <w:rPr>
      <w:rFonts w:ascii="Times New Roman" w:hAnsi="Times New Roman" w:eastAsia="宋体" w:cs="Times New Roman"/>
      <w:sz w:val="16"/>
      <w:szCs w:val="16"/>
    </w:rPr>
  </w:style>
  <w:style w:type="paragraph" w:styleId="18">
    <w:name w:val="Body Text"/>
    <w:basedOn w:val="1"/>
    <w:link w:val="116"/>
    <w:autoRedefine/>
    <w:unhideWhenUsed/>
    <w:qFormat/>
    <w:uiPriority w:val="0"/>
    <w:pPr>
      <w:spacing w:after="120"/>
    </w:pPr>
  </w:style>
  <w:style w:type="paragraph" w:styleId="19">
    <w:name w:val="Body Text Indent"/>
    <w:basedOn w:val="1"/>
    <w:link w:val="95"/>
    <w:autoRedefine/>
    <w:qFormat/>
    <w:uiPriority w:val="0"/>
    <w:pPr>
      <w:spacing w:after="120"/>
      <w:ind w:left="420" w:leftChars="200"/>
    </w:pPr>
    <w:rPr>
      <w:sz w:val="21"/>
    </w:rPr>
  </w:style>
  <w:style w:type="paragraph" w:styleId="20">
    <w:name w:val="List 2"/>
    <w:basedOn w:val="1"/>
    <w:autoRedefine/>
    <w:qFormat/>
    <w:uiPriority w:val="0"/>
    <w:pPr>
      <w:spacing w:line="460" w:lineRule="exact"/>
      <w:ind w:left="100" w:leftChars="200" w:hanging="200" w:hangingChars="200"/>
    </w:pPr>
    <w:rPr>
      <w:rFonts w:ascii="Times New Roman" w:hAnsi="Times New Roman" w:eastAsia="宋体" w:cs="Times New Roman"/>
      <w:sz w:val="26"/>
    </w:rPr>
  </w:style>
  <w:style w:type="paragraph" w:styleId="21">
    <w:name w:val="Block Text"/>
    <w:basedOn w:val="1"/>
    <w:uiPriority w:val="0"/>
    <w:pPr>
      <w:ind w:left="-120" w:leftChars="-50" w:right="-120" w:rightChars="-50"/>
    </w:pPr>
    <w:rPr>
      <w:rFonts w:ascii="Times New Roman" w:hAnsi="Times New Roman" w:eastAsia="仿宋_GB2312" w:cs="Times New Roman"/>
      <w:sz w:val="21"/>
    </w:rPr>
  </w:style>
  <w:style w:type="paragraph" w:styleId="22">
    <w:name w:val="toc 5"/>
    <w:basedOn w:val="1"/>
    <w:next w:val="1"/>
    <w:autoRedefine/>
    <w:qFormat/>
    <w:uiPriority w:val="39"/>
    <w:pPr>
      <w:spacing w:line="360" w:lineRule="auto"/>
      <w:ind w:left="1680" w:leftChars="800"/>
    </w:pPr>
    <w:rPr>
      <w:rFonts w:ascii="Times New Roman" w:hAnsi="Times New Roman" w:eastAsia="宋体" w:cs="Times New Roman"/>
      <w:sz w:val="28"/>
      <w:szCs w:val="28"/>
    </w:rPr>
  </w:style>
  <w:style w:type="paragraph" w:styleId="23">
    <w:name w:val="toc 3"/>
    <w:basedOn w:val="1"/>
    <w:next w:val="1"/>
    <w:autoRedefine/>
    <w:unhideWhenUsed/>
    <w:qFormat/>
    <w:uiPriority w:val="39"/>
    <w:pPr>
      <w:ind w:left="840" w:leftChars="400"/>
    </w:pPr>
  </w:style>
  <w:style w:type="paragraph" w:styleId="24">
    <w:name w:val="Plain Text"/>
    <w:basedOn w:val="1"/>
    <w:link w:val="89"/>
    <w:autoRedefine/>
    <w:qFormat/>
    <w:uiPriority w:val="0"/>
    <w:rPr>
      <w:rFonts w:ascii="宋体" w:hAnsi="Courier New"/>
      <w:sz w:val="21"/>
      <w:szCs w:val="20"/>
    </w:rPr>
  </w:style>
  <w:style w:type="paragraph" w:styleId="25">
    <w:name w:val="toc 8"/>
    <w:basedOn w:val="1"/>
    <w:next w:val="1"/>
    <w:autoRedefine/>
    <w:qFormat/>
    <w:uiPriority w:val="39"/>
    <w:pPr>
      <w:spacing w:line="360" w:lineRule="auto"/>
      <w:ind w:left="2940" w:leftChars="1400"/>
    </w:pPr>
    <w:rPr>
      <w:rFonts w:ascii="Times New Roman" w:hAnsi="Times New Roman" w:eastAsia="宋体" w:cs="Times New Roman"/>
      <w:sz w:val="28"/>
      <w:szCs w:val="28"/>
    </w:rPr>
  </w:style>
  <w:style w:type="paragraph" w:styleId="26">
    <w:name w:val="Date"/>
    <w:basedOn w:val="1"/>
    <w:next w:val="1"/>
    <w:link w:val="107"/>
    <w:autoRedefine/>
    <w:qFormat/>
    <w:uiPriority w:val="0"/>
    <w:pPr>
      <w:adjustRightInd w:val="0"/>
      <w:spacing w:line="360" w:lineRule="auto"/>
      <w:ind w:left="100" w:leftChars="2500"/>
    </w:pPr>
    <w:rPr>
      <w:rFonts w:ascii="Times New Roman" w:hAnsi="Times New Roman" w:eastAsia="宋体" w:cs="Times New Roman"/>
    </w:rPr>
  </w:style>
  <w:style w:type="paragraph" w:styleId="27">
    <w:name w:val="Body Text Indent 2"/>
    <w:basedOn w:val="1"/>
    <w:link w:val="358"/>
    <w:autoRedefine/>
    <w:qFormat/>
    <w:uiPriority w:val="0"/>
    <w:pPr>
      <w:tabs>
        <w:tab w:val="left" w:pos="1700"/>
      </w:tabs>
      <w:spacing w:line="360" w:lineRule="auto"/>
      <w:ind w:firstLine="560" w:firstLineChars="200"/>
    </w:pPr>
    <w:rPr>
      <w:rFonts w:ascii="Times New Roman" w:hAnsi="Times New Roman" w:eastAsia="宋体" w:cs="Times New Roman"/>
      <w:sz w:val="28"/>
      <w:szCs w:val="28"/>
    </w:rPr>
  </w:style>
  <w:style w:type="paragraph" w:styleId="28">
    <w:name w:val="Balloon Text"/>
    <w:basedOn w:val="1"/>
    <w:link w:val="87"/>
    <w:autoRedefine/>
    <w:unhideWhenUsed/>
    <w:qFormat/>
    <w:uiPriority w:val="0"/>
    <w:rPr>
      <w:kern w:val="0"/>
      <w:sz w:val="18"/>
      <w:szCs w:val="18"/>
    </w:rPr>
  </w:style>
  <w:style w:type="paragraph" w:styleId="29">
    <w:name w:val="footer"/>
    <w:basedOn w:val="1"/>
    <w:link w:val="94"/>
    <w:unhideWhenUsed/>
    <w:qFormat/>
    <w:uiPriority w:val="0"/>
    <w:pPr>
      <w:tabs>
        <w:tab w:val="center" w:pos="4153"/>
        <w:tab w:val="right" w:pos="8306"/>
      </w:tabs>
      <w:snapToGrid w:val="0"/>
      <w:jc w:val="left"/>
    </w:pPr>
    <w:rPr>
      <w:kern w:val="0"/>
      <w:sz w:val="18"/>
      <w:szCs w:val="18"/>
    </w:rPr>
  </w:style>
  <w:style w:type="paragraph" w:styleId="30">
    <w:name w:val="header"/>
    <w:basedOn w:val="1"/>
    <w:link w:val="9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right" w:leader="dot" w:pos="8296"/>
      </w:tabs>
      <w:spacing w:line="360" w:lineRule="auto"/>
    </w:pPr>
  </w:style>
  <w:style w:type="paragraph" w:styleId="32">
    <w:name w:val="toc 4"/>
    <w:basedOn w:val="1"/>
    <w:next w:val="1"/>
    <w:autoRedefine/>
    <w:qFormat/>
    <w:uiPriority w:val="39"/>
    <w:pPr>
      <w:ind w:left="1260" w:leftChars="600"/>
    </w:pPr>
    <w:rPr>
      <w:rFonts w:ascii="Times New Roman" w:hAnsi="Times New Roman" w:eastAsia="宋体" w:cs="Times New Roman"/>
      <w:sz w:val="21"/>
    </w:rPr>
  </w:style>
  <w:style w:type="paragraph" w:styleId="33">
    <w:name w:val="List"/>
    <w:basedOn w:val="1"/>
    <w:autoRedefine/>
    <w:qFormat/>
    <w:uiPriority w:val="0"/>
    <w:pPr>
      <w:spacing w:line="320" w:lineRule="exact"/>
      <w:jc w:val="center"/>
    </w:pPr>
    <w:rPr>
      <w:sz w:val="22"/>
    </w:rPr>
  </w:style>
  <w:style w:type="paragraph" w:styleId="34">
    <w:name w:val="toc 6"/>
    <w:basedOn w:val="1"/>
    <w:next w:val="1"/>
    <w:autoRedefine/>
    <w:qFormat/>
    <w:uiPriority w:val="39"/>
    <w:pPr>
      <w:spacing w:line="360" w:lineRule="auto"/>
      <w:ind w:left="2100" w:leftChars="1000"/>
    </w:pPr>
    <w:rPr>
      <w:rFonts w:ascii="Times New Roman" w:hAnsi="Times New Roman" w:eastAsia="宋体" w:cs="Times New Roman"/>
      <w:sz w:val="28"/>
      <w:szCs w:val="28"/>
    </w:rPr>
  </w:style>
  <w:style w:type="paragraph" w:styleId="35">
    <w:name w:val="List 5"/>
    <w:basedOn w:val="1"/>
    <w:autoRedefine/>
    <w:qFormat/>
    <w:uiPriority w:val="0"/>
    <w:pPr>
      <w:spacing w:line="460" w:lineRule="exact"/>
      <w:ind w:left="100" w:leftChars="800" w:hanging="200" w:hangingChars="200"/>
    </w:pPr>
    <w:rPr>
      <w:rFonts w:ascii="Times New Roman" w:hAnsi="Times New Roman" w:eastAsia="宋体" w:cs="Times New Roman"/>
      <w:sz w:val="26"/>
    </w:rPr>
  </w:style>
  <w:style w:type="paragraph" w:styleId="36">
    <w:name w:val="Body Text Indent 3"/>
    <w:basedOn w:val="1"/>
    <w:link w:val="121"/>
    <w:autoRedefine/>
    <w:unhideWhenUsed/>
    <w:qFormat/>
    <w:uiPriority w:val="0"/>
    <w:pPr>
      <w:adjustRightInd w:val="0"/>
      <w:spacing w:after="120" w:line="360" w:lineRule="auto"/>
      <w:ind w:left="420" w:leftChars="200"/>
    </w:pPr>
    <w:rPr>
      <w:rFonts w:ascii="Times New Roman" w:hAnsi="Times New Roman" w:eastAsia="宋体" w:cs="Times New Roman"/>
      <w:sz w:val="16"/>
      <w:szCs w:val="16"/>
    </w:rPr>
  </w:style>
  <w:style w:type="paragraph" w:styleId="37">
    <w:name w:val="toc 2"/>
    <w:basedOn w:val="1"/>
    <w:next w:val="1"/>
    <w:autoRedefine/>
    <w:unhideWhenUsed/>
    <w:qFormat/>
    <w:uiPriority w:val="39"/>
    <w:pPr>
      <w:tabs>
        <w:tab w:val="right" w:leader="dot" w:pos="8296"/>
      </w:tabs>
      <w:spacing w:line="360" w:lineRule="auto"/>
      <w:ind w:left="480" w:leftChars="200"/>
    </w:pPr>
  </w:style>
  <w:style w:type="paragraph" w:styleId="38">
    <w:name w:val="toc 9"/>
    <w:basedOn w:val="1"/>
    <w:next w:val="1"/>
    <w:autoRedefine/>
    <w:qFormat/>
    <w:uiPriority w:val="39"/>
    <w:pPr>
      <w:spacing w:line="360" w:lineRule="auto"/>
      <w:ind w:left="3360" w:leftChars="1600"/>
    </w:pPr>
    <w:rPr>
      <w:rFonts w:ascii="Times New Roman" w:hAnsi="Times New Roman" w:eastAsia="宋体" w:cs="Times New Roman"/>
      <w:sz w:val="28"/>
      <w:szCs w:val="28"/>
    </w:rPr>
  </w:style>
  <w:style w:type="paragraph" w:styleId="39">
    <w:name w:val="Body Text 2"/>
    <w:basedOn w:val="1"/>
    <w:link w:val="84"/>
    <w:autoRedefine/>
    <w:qFormat/>
    <w:uiPriority w:val="0"/>
    <w:pPr>
      <w:spacing w:after="120" w:line="480" w:lineRule="auto"/>
    </w:pPr>
    <w:rPr>
      <w:sz w:val="21"/>
    </w:rPr>
  </w:style>
  <w:style w:type="paragraph" w:styleId="40">
    <w:name w:val="HTML Preformatted"/>
    <w:basedOn w:val="1"/>
    <w:link w:val="108"/>
    <w:autoRedefine/>
    <w:unhideWhenUsed/>
    <w:qFormat/>
    <w:uiPriority w:val="99"/>
    <w:pPr>
      <w:adjustRightInd w:val="0"/>
      <w:spacing w:line="360" w:lineRule="auto"/>
    </w:pPr>
    <w:rPr>
      <w:rFonts w:ascii="Courier New" w:hAnsi="Courier New" w:eastAsia="宋体" w:cs="Courier New"/>
      <w:sz w:val="20"/>
      <w:szCs w:val="20"/>
    </w:rPr>
  </w:style>
  <w:style w:type="paragraph" w:styleId="41">
    <w:name w:val="Normal (Web)"/>
    <w:basedOn w:val="1"/>
    <w:autoRedefine/>
    <w:unhideWhenUsed/>
    <w:qFormat/>
    <w:uiPriority w:val="99"/>
    <w:pPr>
      <w:adjustRightInd w:val="0"/>
      <w:spacing w:line="360" w:lineRule="auto"/>
    </w:pPr>
    <w:rPr>
      <w:rFonts w:ascii="Times New Roman" w:hAnsi="Times New Roman" w:eastAsia="宋体" w:cs="Times New Roman"/>
    </w:rPr>
  </w:style>
  <w:style w:type="paragraph" w:styleId="42">
    <w:name w:val="index 1"/>
    <w:basedOn w:val="1"/>
    <w:next w:val="1"/>
    <w:autoRedefine/>
    <w:semiHidden/>
    <w:qFormat/>
    <w:uiPriority w:val="0"/>
    <w:pPr>
      <w:adjustRightInd w:val="0"/>
      <w:snapToGrid w:val="0"/>
      <w:ind w:firstLine="200" w:firstLineChars="200"/>
    </w:pPr>
    <w:rPr>
      <w:rFonts w:ascii="宋体" w:hAnsi="Times New Roman" w:eastAsia="宋体" w:cs="Times New Roman"/>
      <w:sz w:val="21"/>
      <w:szCs w:val="21"/>
    </w:rPr>
  </w:style>
  <w:style w:type="paragraph" w:styleId="43">
    <w:name w:val="Title"/>
    <w:basedOn w:val="1"/>
    <w:link w:val="366"/>
    <w:autoRedefine/>
    <w:qFormat/>
    <w:uiPriority w:val="0"/>
    <w:pPr>
      <w:spacing w:before="240" w:after="60" w:line="360" w:lineRule="auto"/>
      <w:ind w:firstLine="200" w:firstLineChars="200"/>
      <w:jc w:val="center"/>
      <w:outlineLvl w:val="0"/>
    </w:pPr>
    <w:rPr>
      <w:rFonts w:ascii="Arial" w:hAnsi="Arial" w:eastAsia="宋体" w:cs="Arial"/>
      <w:b/>
      <w:bCs/>
      <w:sz w:val="32"/>
      <w:szCs w:val="32"/>
    </w:rPr>
  </w:style>
  <w:style w:type="paragraph" w:styleId="44">
    <w:name w:val="annotation subject"/>
    <w:basedOn w:val="16"/>
    <w:next w:val="16"/>
    <w:link w:val="98"/>
    <w:autoRedefine/>
    <w:unhideWhenUsed/>
    <w:qFormat/>
    <w:uiPriority w:val="0"/>
    <w:rPr>
      <w:b/>
      <w:bCs/>
    </w:rPr>
  </w:style>
  <w:style w:type="paragraph" w:styleId="45">
    <w:name w:val="Body Text First Indent"/>
    <w:basedOn w:val="18"/>
    <w:link w:val="128"/>
    <w:autoRedefine/>
    <w:unhideWhenUsed/>
    <w:qFormat/>
    <w:uiPriority w:val="99"/>
    <w:pPr>
      <w:ind w:firstLine="420" w:firstLineChars="100"/>
    </w:pPr>
  </w:style>
  <w:style w:type="paragraph" w:styleId="46">
    <w:name w:val="Body Text First Indent 2"/>
    <w:basedOn w:val="19"/>
    <w:link w:val="357"/>
    <w:autoRedefine/>
    <w:qFormat/>
    <w:uiPriority w:val="0"/>
    <w:pPr>
      <w:spacing w:line="360" w:lineRule="auto"/>
      <w:ind w:firstLine="210" w:firstLineChars="200"/>
    </w:pPr>
    <w:rPr>
      <w:rFonts w:ascii="Times New Roman" w:hAnsi="Times New Roman" w:eastAsia="宋体" w:cs="Times New Roman"/>
      <w:sz w:val="28"/>
      <w:szCs w:val="28"/>
    </w:rPr>
  </w:style>
  <w:style w:type="table" w:styleId="48">
    <w:name w:val="Table Grid"/>
    <w:basedOn w:val="4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Grid 1"/>
    <w:basedOn w:val="47"/>
    <w:autoRedefine/>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50">
    <w:name w:val="Table Professional"/>
    <w:basedOn w:val="47"/>
    <w:autoRedefine/>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52">
    <w:name w:val="Strong"/>
    <w:autoRedefine/>
    <w:qFormat/>
    <w:uiPriority w:val="0"/>
    <w:rPr>
      <w:b/>
      <w:bCs/>
    </w:rPr>
  </w:style>
  <w:style w:type="character" w:styleId="53">
    <w:name w:val="page number"/>
    <w:autoRedefine/>
    <w:qFormat/>
    <w:uiPriority w:val="0"/>
  </w:style>
  <w:style w:type="character" w:styleId="54">
    <w:name w:val="FollowedHyperlink"/>
    <w:basedOn w:val="51"/>
    <w:autoRedefine/>
    <w:unhideWhenUsed/>
    <w:qFormat/>
    <w:uiPriority w:val="0"/>
    <w:rPr>
      <w:color w:val="954F72"/>
      <w:u w:val="single"/>
    </w:rPr>
  </w:style>
  <w:style w:type="character" w:styleId="55">
    <w:name w:val="Hyperlink"/>
    <w:autoRedefine/>
    <w:unhideWhenUsed/>
    <w:qFormat/>
    <w:uiPriority w:val="99"/>
    <w:rPr>
      <w:color w:val="0000FF"/>
      <w:u w:val="single"/>
    </w:rPr>
  </w:style>
  <w:style w:type="character" w:styleId="56">
    <w:name w:val="annotation reference"/>
    <w:basedOn w:val="51"/>
    <w:autoRedefine/>
    <w:unhideWhenUsed/>
    <w:qFormat/>
    <w:uiPriority w:val="99"/>
    <w:rPr>
      <w:sz w:val="21"/>
      <w:szCs w:val="21"/>
    </w:rPr>
  </w:style>
  <w:style w:type="paragraph" w:customStyle="1" w:styleId="57">
    <w:name w:val="普通(网站)1"/>
    <w:basedOn w:val="1"/>
    <w:qFormat/>
    <w:uiPriority w:val="0"/>
    <w:pPr>
      <w:widowControl/>
      <w:spacing w:before="100" w:beforeAutospacing="1" w:after="100" w:afterAutospacing="1"/>
      <w:jc w:val="left"/>
    </w:pPr>
    <w:rPr>
      <w:rFonts w:ascii="宋体" w:hAnsi="宋体" w:cs="宋体"/>
      <w:kern w:val="0"/>
    </w:rPr>
  </w:style>
  <w:style w:type="paragraph" w:customStyle="1" w:styleId="58">
    <w:name w:val="my"/>
    <w:link w:val="90"/>
    <w:autoRedefine/>
    <w:qFormat/>
    <w:uiPriority w:val="0"/>
    <w:pPr>
      <w:widowControl w:val="0"/>
      <w:spacing w:before="60" w:line="460" w:lineRule="exact"/>
      <w:ind w:firstLine="200" w:firstLineChars="200"/>
    </w:pPr>
    <w:rPr>
      <w:rFonts w:asciiTheme="minorHAnsi" w:hAnsiTheme="minorHAnsi" w:eastAsiaTheme="minorEastAsia" w:cstheme="minorBidi"/>
      <w:kern w:val="2"/>
      <w:sz w:val="24"/>
      <w:szCs w:val="24"/>
      <w:lang w:val="en-US" w:eastAsia="zh-CN" w:bidi="ar-SA"/>
    </w:rPr>
  </w:style>
  <w:style w:type="paragraph" w:customStyle="1" w:styleId="59">
    <w:name w:val="表格1"/>
    <w:basedOn w:val="1"/>
    <w:autoRedefine/>
    <w:qFormat/>
    <w:uiPriority w:val="0"/>
    <w:pPr>
      <w:spacing w:line="0" w:lineRule="atLeast"/>
    </w:pPr>
    <w:rPr>
      <w:sz w:val="18"/>
      <w:szCs w:val="21"/>
    </w:rPr>
  </w:style>
  <w:style w:type="paragraph" w:customStyle="1" w:styleId="60">
    <w:name w:val="Char4"/>
    <w:basedOn w:val="1"/>
    <w:autoRedefine/>
    <w:qFormat/>
    <w:uiPriority w:val="0"/>
    <w:pPr>
      <w:spacing w:line="360" w:lineRule="auto"/>
      <w:ind w:firstLine="200" w:firstLineChars="200"/>
    </w:pPr>
    <w:rPr>
      <w:sz w:val="21"/>
    </w:rPr>
  </w:style>
  <w:style w:type="paragraph" w:customStyle="1" w:styleId="61">
    <w:name w:val="p0"/>
    <w:basedOn w:val="1"/>
    <w:autoRedefine/>
    <w:qFormat/>
    <w:uiPriority w:val="0"/>
    <w:pPr>
      <w:widowControl/>
    </w:pPr>
    <w:rPr>
      <w:kern w:val="0"/>
      <w:szCs w:val="21"/>
    </w:rPr>
  </w:style>
  <w:style w:type="paragraph" w:customStyle="1" w:styleId="62">
    <w:name w:val="Char Char Char Char Char"/>
    <w:basedOn w:val="1"/>
    <w:autoRedefine/>
    <w:qFormat/>
    <w:uiPriority w:val="0"/>
    <w:pPr>
      <w:adjustRightInd w:val="0"/>
      <w:spacing w:line="312" w:lineRule="atLeast"/>
      <w:textAlignment w:val="baseline"/>
    </w:pPr>
    <w:rPr>
      <w:kern w:val="0"/>
      <w:szCs w:val="20"/>
    </w:rPr>
  </w:style>
  <w:style w:type="paragraph" w:customStyle="1" w:styleId="63">
    <w:name w:val="普通(网站)2"/>
    <w:basedOn w:val="1"/>
    <w:qFormat/>
    <w:uiPriority w:val="0"/>
    <w:pPr>
      <w:spacing w:before="100" w:beforeAutospacing="1" w:after="100" w:afterAutospacing="1"/>
    </w:pPr>
    <w:rPr>
      <w:rFonts w:ascii="宋体" w:hAnsi="宋体" w:eastAsia="宋体" w:cs="宋体"/>
    </w:rPr>
  </w:style>
  <w:style w:type="paragraph" w:customStyle="1" w:styleId="64">
    <w:name w:val="xl31"/>
    <w:basedOn w:val="1"/>
    <w:qFormat/>
    <w:uiPriority w:val="0"/>
    <w:pPr>
      <w:spacing w:before="100" w:beforeAutospacing="1" w:after="100" w:afterAutospacing="1"/>
      <w:jc w:val="center"/>
    </w:pPr>
    <w:rPr>
      <w:rFonts w:cs="Dutch801 Rm BT"/>
    </w:rPr>
  </w:style>
  <w:style w:type="paragraph" w:customStyle="1" w:styleId="65">
    <w:name w:val="正文四号"/>
    <w:basedOn w:val="1"/>
    <w:link w:val="110"/>
    <w:autoRedefine/>
    <w:qFormat/>
    <w:uiPriority w:val="0"/>
    <w:pPr>
      <w:spacing w:line="360" w:lineRule="auto"/>
      <w:ind w:firstLine="200" w:firstLineChars="200"/>
    </w:pPr>
    <w:rPr>
      <w:rFonts w:cs="宋体"/>
    </w:rPr>
  </w:style>
  <w:style w:type="paragraph" w:customStyle="1" w:styleId="66">
    <w:name w:val="Default"/>
    <w:autoRedefine/>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67">
    <w:name w:val="文本"/>
    <w:basedOn w:val="1"/>
    <w:qFormat/>
    <w:uiPriority w:val="0"/>
    <w:pPr>
      <w:adjustRightInd w:val="0"/>
      <w:snapToGrid w:val="0"/>
      <w:spacing w:before="76" w:beforeLines="20"/>
      <w:jc w:val="center"/>
      <w:textAlignment w:val="center"/>
    </w:pPr>
    <w:rPr>
      <w:snapToGrid w:val="0"/>
      <w:kern w:val="21"/>
      <w:szCs w:val="20"/>
    </w:rPr>
  </w:style>
  <w:style w:type="paragraph" w:customStyle="1" w:styleId="68">
    <w:name w:val="列出段落1"/>
    <w:basedOn w:val="1"/>
    <w:qFormat/>
    <w:uiPriority w:val="0"/>
    <w:pPr>
      <w:ind w:firstLine="420" w:firstLineChars="200"/>
    </w:pPr>
    <w:rPr>
      <w:rFonts w:ascii="Calibri" w:hAnsi="Calibri"/>
      <w:szCs w:val="22"/>
    </w:rPr>
  </w:style>
  <w:style w:type="paragraph" w:customStyle="1" w:styleId="69">
    <w:name w:val="表格"/>
    <w:basedOn w:val="1"/>
    <w:link w:val="129"/>
    <w:autoRedefine/>
    <w:qFormat/>
    <w:uiPriority w:val="0"/>
    <w:pPr>
      <w:jc w:val="center"/>
    </w:pPr>
    <w:rPr>
      <w:rFonts w:eastAsia="宋体"/>
    </w:rPr>
  </w:style>
  <w:style w:type="paragraph" w:styleId="70">
    <w:name w:val="No Spacing"/>
    <w:autoRedefine/>
    <w:qFormat/>
    <w:uiPriority w:val="1"/>
    <w:pPr>
      <w:widowControl w:val="0"/>
      <w:jc w:val="both"/>
    </w:pPr>
    <w:rPr>
      <w:rFonts w:asciiTheme="minorHAnsi" w:hAnsiTheme="minorHAnsi" w:eastAsiaTheme="minorEastAsia" w:cstheme="minorBidi"/>
      <w:kern w:val="2"/>
      <w:sz w:val="21"/>
      <w:szCs w:val="24"/>
      <w:lang w:val="en-US" w:eastAsia="zh-CN" w:bidi="ar-SA"/>
    </w:rPr>
  </w:style>
  <w:style w:type="paragraph" w:customStyle="1" w:styleId="71">
    <w:name w:val="reader-word-layer"/>
    <w:basedOn w:val="1"/>
    <w:autoRedefine/>
    <w:qFormat/>
    <w:uiPriority w:val="0"/>
    <w:pPr>
      <w:spacing w:before="100" w:beforeAutospacing="1" w:after="100" w:afterAutospacing="1"/>
    </w:pPr>
    <w:rPr>
      <w:rFonts w:ascii="宋体" w:hAnsi="宋体" w:cs="宋体"/>
    </w:rPr>
  </w:style>
  <w:style w:type="paragraph" w:customStyle="1" w:styleId="72">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styleId="73">
    <w:name w:val="List Paragraph"/>
    <w:basedOn w:val="1"/>
    <w:link w:val="446"/>
    <w:autoRedefine/>
    <w:qFormat/>
    <w:uiPriority w:val="34"/>
    <w:pPr>
      <w:ind w:firstLine="420" w:firstLineChars="200"/>
    </w:pPr>
  </w:style>
  <w:style w:type="paragraph" w:customStyle="1" w:styleId="74">
    <w:name w:val="zwz1"/>
    <w:basedOn w:val="1"/>
    <w:qFormat/>
    <w:uiPriority w:val="0"/>
    <w:pPr>
      <w:snapToGrid w:val="0"/>
      <w:ind w:firstLine="200" w:firstLineChars="200"/>
    </w:pPr>
    <w:rPr>
      <w:rFonts w:eastAsia="宋体"/>
      <w:sz w:val="21"/>
    </w:rPr>
  </w:style>
  <w:style w:type="paragraph" w:customStyle="1" w:styleId="75">
    <w:name w:val="zwbtt1"/>
    <w:basedOn w:val="1"/>
    <w:qFormat/>
    <w:uiPriority w:val="0"/>
    <w:pPr>
      <w:autoSpaceDE w:val="0"/>
      <w:autoSpaceDN w:val="0"/>
      <w:adjustRightInd w:val="0"/>
      <w:snapToGrid w:val="0"/>
      <w:spacing w:line="300" w:lineRule="exact"/>
      <w:ind w:firstLine="200" w:firstLineChars="200"/>
      <w:jc w:val="left"/>
    </w:pPr>
    <w:rPr>
      <w:rFonts w:ascii="宋体" w:cs="宋体"/>
      <w:b/>
      <w:kern w:val="0"/>
      <w:position w:val="-2"/>
      <w:szCs w:val="21"/>
    </w:rPr>
  </w:style>
  <w:style w:type="paragraph" w:customStyle="1" w:styleId="76">
    <w:name w:val="样式 样式 报告书正文 + 首行缩进:  2 字符 + 加粗 自动设置"/>
    <w:basedOn w:val="1"/>
    <w:autoRedefine/>
    <w:qFormat/>
    <w:uiPriority w:val="0"/>
    <w:pPr>
      <w:tabs>
        <w:tab w:val="left" w:pos="6300"/>
      </w:tabs>
      <w:spacing w:line="500" w:lineRule="exact"/>
      <w:ind w:firstLine="480" w:firstLineChars="200"/>
    </w:pPr>
    <w:rPr>
      <w:rFonts w:cs="宋体"/>
      <w:bCs/>
      <w:kern w:val="28"/>
    </w:rPr>
  </w:style>
  <w:style w:type="paragraph" w:customStyle="1" w:styleId="77">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78">
    <w:name w:val="Char2"/>
    <w:basedOn w:val="1"/>
    <w:autoRedefine/>
    <w:semiHidden/>
    <w:qFormat/>
    <w:uiPriority w:val="0"/>
    <w:pPr>
      <w:ind w:firstLine="200" w:firstLineChars="200"/>
    </w:pPr>
    <w:rPr>
      <w:rFonts w:ascii="宋体" w:hAnsi="宋体" w:cs="宋体"/>
    </w:rPr>
  </w:style>
  <w:style w:type="paragraph" w:customStyle="1" w:styleId="79">
    <w:name w:val="bt1"/>
    <w:basedOn w:val="1"/>
    <w:link w:val="440"/>
    <w:autoRedefine/>
    <w:qFormat/>
    <w:uiPriority w:val="0"/>
    <w:pPr>
      <w:tabs>
        <w:tab w:val="left" w:pos="7800"/>
      </w:tabs>
      <w:adjustRightInd w:val="0"/>
      <w:snapToGrid w:val="0"/>
      <w:spacing w:before="240" w:line="400" w:lineRule="atLeast"/>
      <w:jc w:val="center"/>
    </w:pPr>
    <w:rPr>
      <w:rFonts w:ascii="Arial Narrow" w:hAnsi="Arial Narrow" w:eastAsia="黑体"/>
      <w:color w:val="000000"/>
      <w:spacing w:val="-2"/>
      <w:w w:val="99"/>
      <w:kern w:val="0"/>
      <w:sz w:val="26"/>
      <w:szCs w:val="26"/>
    </w:rPr>
  </w:style>
  <w:style w:type="paragraph" w:customStyle="1" w:styleId="80">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paragraph" w:customStyle="1" w:styleId="81">
    <w:name w:val="正文 New New New New New New New New New New New New New New New New New New New New New"/>
    <w:autoRedefine/>
    <w:qFormat/>
    <w:uiPriority w:val="0"/>
    <w:pPr>
      <w:widowControl w:val="0"/>
      <w:spacing w:line="360" w:lineRule="auto"/>
      <w:ind w:firstLine="200" w:firstLineChars="200"/>
      <w:jc w:val="center"/>
    </w:pPr>
    <w:rPr>
      <w:rFonts w:ascii="Arial" w:hAnsi="Arial" w:eastAsiaTheme="minorEastAsia" w:cstheme="minorBidi"/>
      <w:kern w:val="2"/>
      <w:sz w:val="24"/>
      <w:szCs w:val="24"/>
      <w:lang w:val="en-US" w:eastAsia="zh-CN" w:bidi="ar-SA"/>
    </w:rPr>
  </w:style>
  <w:style w:type="paragraph" w:customStyle="1" w:styleId="82">
    <w:name w:val="正文1"/>
    <w:basedOn w:val="1"/>
    <w:qFormat/>
    <w:uiPriority w:val="0"/>
    <w:pPr>
      <w:snapToGrid w:val="0"/>
      <w:spacing w:line="360" w:lineRule="exact"/>
      <w:jc w:val="center"/>
    </w:pPr>
    <w:rPr>
      <w:kern w:val="21"/>
      <w:sz w:val="20"/>
      <w:szCs w:val="20"/>
    </w:rPr>
  </w:style>
  <w:style w:type="character" w:customStyle="1" w:styleId="83">
    <w:name w:val="td"/>
    <w:basedOn w:val="51"/>
    <w:qFormat/>
    <w:uiPriority w:val="99"/>
    <w:rPr>
      <w:rFonts w:cs="Times New Roman"/>
    </w:rPr>
  </w:style>
  <w:style w:type="character" w:customStyle="1" w:styleId="84">
    <w:name w:val="正文文本 2 字符"/>
    <w:basedOn w:val="51"/>
    <w:link w:val="39"/>
    <w:autoRedefine/>
    <w:qFormat/>
    <w:uiPriority w:val="0"/>
    <w:rPr>
      <w:kern w:val="2"/>
      <w:sz w:val="21"/>
      <w:szCs w:val="24"/>
    </w:rPr>
  </w:style>
  <w:style w:type="character" w:customStyle="1" w:styleId="85">
    <w:name w:val="正文缩进 字符"/>
    <w:link w:val="14"/>
    <w:qFormat/>
    <w:uiPriority w:val="0"/>
    <w:rPr>
      <w:rFonts w:eastAsia="宋体"/>
      <w:szCs w:val="24"/>
    </w:rPr>
  </w:style>
  <w:style w:type="character" w:customStyle="1" w:styleId="86">
    <w:name w:val="标题 3 字符"/>
    <w:link w:val="4"/>
    <w:autoRedefine/>
    <w:qFormat/>
    <w:uiPriority w:val="0"/>
    <w:rPr>
      <w:rFonts w:ascii="Times New Roman" w:hAnsi="Times New Roman" w:eastAsia="宋体" w:cs="Times New Roman"/>
      <w:b/>
      <w:bCs/>
      <w:sz w:val="30"/>
      <w:szCs w:val="32"/>
    </w:rPr>
  </w:style>
  <w:style w:type="character" w:customStyle="1" w:styleId="87">
    <w:name w:val="批注框文本 字符"/>
    <w:link w:val="28"/>
    <w:qFormat/>
    <w:uiPriority w:val="99"/>
    <w:rPr>
      <w:rFonts w:ascii="Times New Roman" w:hAnsi="Times New Roman" w:eastAsia="宋体" w:cs="Times New Roman"/>
      <w:sz w:val="18"/>
      <w:szCs w:val="18"/>
    </w:rPr>
  </w:style>
  <w:style w:type="character" w:customStyle="1" w:styleId="88">
    <w:name w:val="标题 4 字符"/>
    <w:link w:val="5"/>
    <w:autoRedefine/>
    <w:qFormat/>
    <w:uiPriority w:val="9"/>
    <w:rPr>
      <w:rFonts w:ascii="Times New Roman" w:hAnsi="Times New Roman" w:eastAsia="宋体" w:cs="Times New Roman"/>
      <w:b/>
      <w:bCs/>
      <w:sz w:val="24"/>
      <w:szCs w:val="28"/>
    </w:rPr>
  </w:style>
  <w:style w:type="character" w:customStyle="1" w:styleId="89">
    <w:name w:val="纯文本 字符"/>
    <w:basedOn w:val="51"/>
    <w:link w:val="24"/>
    <w:autoRedefine/>
    <w:qFormat/>
    <w:uiPriority w:val="99"/>
    <w:rPr>
      <w:rFonts w:ascii="宋体" w:hAnsi="Courier New"/>
      <w:kern w:val="2"/>
      <w:sz w:val="21"/>
    </w:rPr>
  </w:style>
  <w:style w:type="character" w:customStyle="1" w:styleId="90">
    <w:name w:val="my Char"/>
    <w:link w:val="58"/>
    <w:autoRedefine/>
    <w:qFormat/>
    <w:uiPriority w:val="0"/>
    <w:rPr>
      <w:kern w:val="2"/>
      <w:sz w:val="24"/>
      <w:szCs w:val="24"/>
      <w:lang w:val="en-US" w:eastAsia="zh-CN" w:bidi="ar-SA"/>
    </w:rPr>
  </w:style>
  <w:style w:type="character" w:customStyle="1" w:styleId="91">
    <w:name w:val="页眉 字符"/>
    <w:link w:val="30"/>
    <w:autoRedefine/>
    <w:qFormat/>
    <w:uiPriority w:val="99"/>
    <w:rPr>
      <w:rFonts w:ascii="Times New Roman" w:hAnsi="Times New Roman" w:eastAsia="宋体" w:cs="Times New Roman"/>
      <w:sz w:val="18"/>
      <w:szCs w:val="18"/>
    </w:rPr>
  </w:style>
  <w:style w:type="character" w:customStyle="1" w:styleId="92">
    <w:name w:val="标题 1 字符"/>
    <w:link w:val="2"/>
    <w:qFormat/>
    <w:uiPriority w:val="0"/>
    <w:rPr>
      <w:rFonts w:ascii="Times New Roman" w:hAnsi="Times New Roman" w:eastAsia="宋体" w:cs="Times New Roman"/>
      <w:b/>
      <w:bCs/>
      <w:kern w:val="44"/>
      <w:sz w:val="36"/>
      <w:szCs w:val="44"/>
    </w:rPr>
  </w:style>
  <w:style w:type="character" w:customStyle="1" w:styleId="93">
    <w:name w:val="文档结构图 字符"/>
    <w:basedOn w:val="51"/>
    <w:link w:val="15"/>
    <w:semiHidden/>
    <w:qFormat/>
    <w:uiPriority w:val="99"/>
    <w:rPr>
      <w:rFonts w:ascii="宋体" w:hAnsi="Times New Roman"/>
      <w:kern w:val="2"/>
      <w:sz w:val="18"/>
      <w:szCs w:val="18"/>
    </w:rPr>
  </w:style>
  <w:style w:type="character" w:customStyle="1" w:styleId="94">
    <w:name w:val="页脚 字符"/>
    <w:link w:val="29"/>
    <w:autoRedefine/>
    <w:qFormat/>
    <w:uiPriority w:val="99"/>
    <w:rPr>
      <w:rFonts w:ascii="Times New Roman" w:hAnsi="Times New Roman" w:eastAsia="宋体" w:cs="Times New Roman"/>
      <w:sz w:val="18"/>
      <w:szCs w:val="18"/>
    </w:rPr>
  </w:style>
  <w:style w:type="character" w:customStyle="1" w:styleId="95">
    <w:name w:val="正文文本缩进 字符"/>
    <w:basedOn w:val="51"/>
    <w:link w:val="19"/>
    <w:autoRedefine/>
    <w:qFormat/>
    <w:uiPriority w:val="99"/>
    <w:rPr>
      <w:rFonts w:ascii="Times New Roman" w:hAnsi="Times New Roman"/>
      <w:kern w:val="2"/>
      <w:sz w:val="21"/>
      <w:szCs w:val="24"/>
    </w:rPr>
  </w:style>
  <w:style w:type="character" w:customStyle="1" w:styleId="96">
    <w:name w:val="标题 2 字符"/>
    <w:link w:val="3"/>
    <w:autoRedefine/>
    <w:qFormat/>
    <w:uiPriority w:val="0"/>
    <w:rPr>
      <w:rFonts w:ascii="Times New Roman" w:hAnsi="Times New Roman" w:eastAsia="宋体" w:cs="Times New Roman"/>
      <w:b/>
      <w:sz w:val="32"/>
      <w:szCs w:val="24"/>
    </w:rPr>
  </w:style>
  <w:style w:type="character" w:customStyle="1" w:styleId="97">
    <w:name w:val="批注文字 字符"/>
    <w:basedOn w:val="51"/>
    <w:link w:val="16"/>
    <w:autoRedefine/>
    <w:qFormat/>
    <w:uiPriority w:val="0"/>
    <w:rPr>
      <w:rFonts w:asciiTheme="minorHAnsi" w:hAnsiTheme="minorHAnsi" w:eastAsiaTheme="minorEastAsia" w:cstheme="minorBidi"/>
      <w:kern w:val="2"/>
      <w:sz w:val="24"/>
      <w:szCs w:val="24"/>
    </w:rPr>
  </w:style>
  <w:style w:type="character" w:customStyle="1" w:styleId="98">
    <w:name w:val="批注主题 字符"/>
    <w:basedOn w:val="97"/>
    <w:link w:val="44"/>
    <w:qFormat/>
    <w:uiPriority w:val="99"/>
    <w:rPr>
      <w:rFonts w:asciiTheme="minorHAnsi" w:hAnsiTheme="minorHAnsi" w:eastAsiaTheme="minorEastAsia" w:cstheme="minorBidi"/>
      <w:b/>
      <w:bCs/>
      <w:kern w:val="2"/>
      <w:sz w:val="24"/>
      <w:szCs w:val="24"/>
    </w:rPr>
  </w:style>
  <w:style w:type="character" w:customStyle="1" w:styleId="99">
    <w:name w:val="表头 Char"/>
    <w:link w:val="100"/>
    <w:autoRedefine/>
    <w:qFormat/>
    <w:locked/>
    <w:uiPriority w:val="0"/>
    <w:rPr>
      <w:kern w:val="2"/>
      <w:sz w:val="24"/>
    </w:rPr>
  </w:style>
  <w:style w:type="paragraph" w:customStyle="1" w:styleId="100">
    <w:name w:val="表头"/>
    <w:basedOn w:val="1"/>
    <w:link w:val="99"/>
    <w:autoRedefine/>
    <w:qFormat/>
    <w:uiPriority w:val="0"/>
    <w:pPr>
      <w:spacing w:before="50" w:beforeLines="50"/>
      <w:ind w:firstLine="200" w:firstLineChars="200"/>
    </w:pPr>
    <w:rPr>
      <w:rFonts w:ascii="Times New Roman" w:hAnsi="Times New Roman" w:eastAsia="宋体" w:cs="Times New Roman"/>
      <w:szCs w:val="20"/>
    </w:rPr>
  </w:style>
  <w:style w:type="paragraph" w:customStyle="1" w:styleId="101">
    <w:name w:val="表格内容"/>
    <w:basedOn w:val="1"/>
    <w:autoRedefine/>
    <w:qFormat/>
    <w:uiPriority w:val="0"/>
    <w:pPr>
      <w:adjustRightInd w:val="0"/>
      <w:jc w:val="center"/>
    </w:pPr>
    <w:rPr>
      <w:rFonts w:ascii="Times New Roman" w:hAnsi="Times New Roman" w:eastAsia="宋体" w:cs="Times New Roman"/>
      <w:sz w:val="21"/>
    </w:rPr>
  </w:style>
  <w:style w:type="character" w:customStyle="1" w:styleId="102">
    <w:name w:val="标题 5 字符"/>
    <w:basedOn w:val="51"/>
    <w:autoRedefine/>
    <w:semiHidden/>
    <w:qFormat/>
    <w:uiPriority w:val="9"/>
    <w:rPr>
      <w:rFonts w:asciiTheme="minorHAnsi" w:hAnsiTheme="minorHAnsi" w:eastAsiaTheme="minorEastAsia" w:cstheme="minorBidi"/>
      <w:b/>
      <w:bCs/>
      <w:kern w:val="2"/>
      <w:sz w:val="28"/>
      <w:szCs w:val="28"/>
    </w:rPr>
  </w:style>
  <w:style w:type="character" w:customStyle="1" w:styleId="103">
    <w:name w:val="标题 6 字符"/>
    <w:basedOn w:val="51"/>
    <w:autoRedefine/>
    <w:semiHidden/>
    <w:qFormat/>
    <w:uiPriority w:val="9"/>
    <w:rPr>
      <w:rFonts w:asciiTheme="majorHAnsi" w:hAnsiTheme="majorHAnsi" w:eastAsiaTheme="majorEastAsia" w:cstheme="majorBidi"/>
      <w:b/>
      <w:bCs/>
      <w:kern w:val="2"/>
      <w:sz w:val="24"/>
      <w:szCs w:val="24"/>
    </w:rPr>
  </w:style>
  <w:style w:type="character" w:customStyle="1" w:styleId="104">
    <w:name w:val="标题 7 字符"/>
    <w:basedOn w:val="51"/>
    <w:semiHidden/>
    <w:qFormat/>
    <w:uiPriority w:val="9"/>
    <w:rPr>
      <w:rFonts w:asciiTheme="minorHAnsi" w:hAnsiTheme="minorHAnsi" w:eastAsiaTheme="minorEastAsia" w:cstheme="minorBidi"/>
      <w:b/>
      <w:bCs/>
      <w:kern w:val="2"/>
      <w:sz w:val="24"/>
      <w:szCs w:val="24"/>
    </w:rPr>
  </w:style>
  <w:style w:type="character" w:customStyle="1" w:styleId="105">
    <w:name w:val="标题 8 字符"/>
    <w:basedOn w:val="51"/>
    <w:autoRedefine/>
    <w:semiHidden/>
    <w:qFormat/>
    <w:uiPriority w:val="9"/>
    <w:rPr>
      <w:rFonts w:asciiTheme="majorHAnsi" w:hAnsiTheme="majorHAnsi" w:eastAsiaTheme="majorEastAsia" w:cstheme="majorBidi"/>
      <w:kern w:val="2"/>
      <w:sz w:val="24"/>
      <w:szCs w:val="24"/>
    </w:rPr>
  </w:style>
  <w:style w:type="character" w:customStyle="1" w:styleId="106">
    <w:name w:val="标题 9 字符"/>
    <w:basedOn w:val="51"/>
    <w:autoRedefine/>
    <w:semiHidden/>
    <w:uiPriority w:val="9"/>
    <w:rPr>
      <w:rFonts w:asciiTheme="majorHAnsi" w:hAnsiTheme="majorHAnsi" w:eastAsiaTheme="majorEastAsia" w:cstheme="majorBidi"/>
      <w:kern w:val="2"/>
      <w:sz w:val="21"/>
      <w:szCs w:val="21"/>
    </w:rPr>
  </w:style>
  <w:style w:type="character" w:customStyle="1" w:styleId="107">
    <w:name w:val="日期 字符"/>
    <w:basedOn w:val="51"/>
    <w:link w:val="26"/>
    <w:autoRedefine/>
    <w:qFormat/>
    <w:uiPriority w:val="0"/>
    <w:rPr>
      <w:kern w:val="2"/>
      <w:sz w:val="24"/>
      <w:szCs w:val="24"/>
    </w:rPr>
  </w:style>
  <w:style w:type="character" w:customStyle="1" w:styleId="108">
    <w:name w:val="HTML 预设格式 字符"/>
    <w:basedOn w:val="51"/>
    <w:link w:val="40"/>
    <w:qFormat/>
    <w:uiPriority w:val="99"/>
    <w:rPr>
      <w:rFonts w:ascii="Courier New" w:hAnsi="Courier New" w:cs="Courier New"/>
      <w:kern w:val="2"/>
    </w:rPr>
  </w:style>
  <w:style w:type="table" w:customStyle="1" w:styleId="109">
    <w:name w:val="灰度表格1"/>
    <w:basedOn w:val="47"/>
    <w:qFormat/>
    <w:uiPriority w:val="99"/>
    <w:pPr>
      <w:widowControl w:val="0"/>
      <w:adjustRightIn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0">
    <w:name w:val="正文四号 Char"/>
    <w:link w:val="65"/>
    <w:autoRedefine/>
    <w:qFormat/>
    <w:locked/>
    <w:uiPriority w:val="0"/>
    <w:rPr>
      <w:rFonts w:cs="宋体" w:asciiTheme="minorHAnsi" w:hAnsiTheme="minorHAnsi" w:eastAsiaTheme="minorEastAsia"/>
      <w:kern w:val="2"/>
      <w:sz w:val="24"/>
      <w:szCs w:val="24"/>
    </w:rPr>
  </w:style>
  <w:style w:type="character" w:customStyle="1" w:styleId="111">
    <w:name w:val="环评正文 Char"/>
    <w:link w:val="112"/>
    <w:autoRedefine/>
    <w:qFormat/>
    <w:locked/>
    <w:uiPriority w:val="99"/>
    <w:rPr>
      <w:rFonts w:eastAsia="仿宋_GB2312"/>
      <w:kern w:val="2"/>
      <w:sz w:val="24"/>
    </w:rPr>
  </w:style>
  <w:style w:type="paragraph" w:customStyle="1" w:styleId="112">
    <w:name w:val="环评正文"/>
    <w:basedOn w:val="1"/>
    <w:link w:val="111"/>
    <w:qFormat/>
    <w:uiPriority w:val="0"/>
    <w:pPr>
      <w:spacing w:before="60" w:after="60" w:line="400" w:lineRule="exact"/>
      <w:ind w:firstLine="200" w:firstLineChars="200"/>
    </w:pPr>
    <w:rPr>
      <w:rFonts w:ascii="Times New Roman" w:hAnsi="Times New Roman" w:eastAsia="仿宋_GB2312" w:cs="Times New Roman"/>
      <w:szCs w:val="20"/>
    </w:rPr>
  </w:style>
  <w:style w:type="paragraph" w:customStyle="1" w:styleId="113">
    <w:name w:val="图名"/>
    <w:basedOn w:val="1"/>
    <w:autoRedefine/>
    <w:qFormat/>
    <w:uiPriority w:val="0"/>
    <w:pPr>
      <w:adjustRightInd w:val="0"/>
      <w:spacing w:after="120"/>
      <w:jc w:val="center"/>
    </w:pPr>
    <w:rPr>
      <w:rFonts w:ascii="Times New Roman" w:hAnsi="Times New Roman" w:eastAsia="宋体" w:cs="宋体"/>
      <w:b/>
      <w:u w:val="single"/>
    </w:rPr>
  </w:style>
  <w:style w:type="paragraph" w:customStyle="1" w:styleId="114">
    <w:name w:val="Char Char2"/>
    <w:basedOn w:val="1"/>
    <w:semiHidden/>
    <w:qFormat/>
    <w:uiPriority w:val="0"/>
    <w:pPr>
      <w:adjustRightInd w:val="0"/>
      <w:snapToGrid w:val="0"/>
      <w:spacing w:line="360" w:lineRule="auto"/>
      <w:ind w:firstLine="200" w:firstLineChars="200"/>
    </w:pPr>
    <w:rPr>
      <w:rFonts w:ascii="宋体" w:hAnsi="宋体" w:eastAsia="宋体" w:cs="宋体"/>
      <w:szCs w:val="26"/>
    </w:rPr>
  </w:style>
  <w:style w:type="paragraph" w:customStyle="1" w:styleId="115">
    <w:name w:val="Char Char23"/>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character" w:customStyle="1" w:styleId="116">
    <w:name w:val="正文文本 字符"/>
    <w:basedOn w:val="51"/>
    <w:link w:val="18"/>
    <w:qFormat/>
    <w:uiPriority w:val="99"/>
    <w:rPr>
      <w:rFonts w:asciiTheme="minorHAnsi" w:hAnsiTheme="minorHAnsi" w:eastAsiaTheme="minorEastAsia" w:cstheme="minorBidi"/>
      <w:kern w:val="2"/>
      <w:sz w:val="24"/>
      <w:szCs w:val="24"/>
    </w:rPr>
  </w:style>
  <w:style w:type="paragraph" w:customStyle="1" w:styleId="117">
    <w:name w:val="Char Char22"/>
    <w:basedOn w:val="1"/>
    <w:semiHidden/>
    <w:uiPriority w:val="0"/>
    <w:pPr>
      <w:adjustRightInd w:val="0"/>
      <w:snapToGrid w:val="0"/>
      <w:spacing w:line="360" w:lineRule="auto"/>
      <w:ind w:firstLine="200" w:firstLineChars="200"/>
    </w:pPr>
    <w:rPr>
      <w:rFonts w:ascii="宋体" w:hAnsi="宋体" w:eastAsia="宋体" w:cs="宋体"/>
      <w:szCs w:val="26"/>
    </w:rPr>
  </w:style>
  <w:style w:type="paragraph" w:customStyle="1" w:styleId="118">
    <w:name w:val="Char Char21"/>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character" w:customStyle="1" w:styleId="119">
    <w:name w:val="正文四号 Char Char"/>
    <w:qFormat/>
    <w:locked/>
    <w:uiPriority w:val="0"/>
    <w:rPr>
      <w:sz w:val="24"/>
      <w:szCs w:val="28"/>
    </w:rPr>
  </w:style>
  <w:style w:type="paragraph" w:customStyle="1" w:styleId="120">
    <w:name w:val="Char1 Char Char Char Char Char Char Char Char1 Char Char Char"/>
    <w:basedOn w:val="1"/>
    <w:autoRedefine/>
    <w:qFormat/>
    <w:uiPriority w:val="0"/>
    <w:pPr>
      <w:snapToGrid w:val="0"/>
      <w:spacing w:line="360" w:lineRule="auto"/>
      <w:ind w:firstLine="200" w:firstLineChars="200"/>
    </w:pPr>
    <w:rPr>
      <w:rFonts w:ascii="Times New Roman" w:hAnsi="Times New Roman" w:eastAsia="宋体" w:cs="Times New Roman"/>
      <w:sz w:val="28"/>
      <w:szCs w:val="20"/>
    </w:rPr>
  </w:style>
  <w:style w:type="character" w:customStyle="1" w:styleId="121">
    <w:name w:val="正文文本缩进 3 字符"/>
    <w:basedOn w:val="51"/>
    <w:link w:val="36"/>
    <w:autoRedefine/>
    <w:qFormat/>
    <w:uiPriority w:val="99"/>
    <w:rPr>
      <w:kern w:val="2"/>
      <w:sz w:val="16"/>
      <w:szCs w:val="16"/>
    </w:rPr>
  </w:style>
  <w:style w:type="character" w:customStyle="1" w:styleId="122">
    <w:name w:val="表中文字 Char"/>
    <w:link w:val="123"/>
    <w:autoRedefine/>
    <w:qFormat/>
    <w:uiPriority w:val="0"/>
    <w:rPr>
      <w:kern w:val="2"/>
      <w:sz w:val="21"/>
      <w:szCs w:val="24"/>
    </w:rPr>
  </w:style>
  <w:style w:type="paragraph" w:customStyle="1" w:styleId="123">
    <w:name w:val="表中文字"/>
    <w:basedOn w:val="1"/>
    <w:link w:val="122"/>
    <w:autoRedefine/>
    <w:qFormat/>
    <w:uiPriority w:val="0"/>
    <w:pPr>
      <w:adjustRightInd w:val="0"/>
      <w:snapToGrid w:val="0"/>
      <w:spacing w:line="400" w:lineRule="exact"/>
      <w:jc w:val="center"/>
    </w:pPr>
    <w:rPr>
      <w:rFonts w:ascii="Times New Roman" w:hAnsi="Times New Roman" w:eastAsia="宋体" w:cs="Times New Roman"/>
      <w:sz w:val="21"/>
    </w:rPr>
  </w:style>
  <w:style w:type="paragraph" w:customStyle="1" w:styleId="124">
    <w:name w:val="Char1 Char Char Char Char Char Char Char Char1 Char Char Char1"/>
    <w:basedOn w:val="1"/>
    <w:autoRedefine/>
    <w:qFormat/>
    <w:uiPriority w:val="0"/>
    <w:pPr>
      <w:snapToGrid w:val="0"/>
      <w:spacing w:line="360" w:lineRule="auto"/>
      <w:ind w:firstLine="200" w:firstLineChars="200"/>
    </w:pPr>
    <w:rPr>
      <w:rFonts w:ascii="Times New Roman" w:hAnsi="Times New Roman" w:eastAsia="宋体" w:cs="Times New Roman"/>
      <w:sz w:val="28"/>
      <w:szCs w:val="20"/>
    </w:rPr>
  </w:style>
  <w:style w:type="paragraph" w:customStyle="1" w:styleId="125">
    <w:name w:val="表"/>
    <w:basedOn w:val="1"/>
    <w:autoRedefine/>
    <w:qFormat/>
    <w:uiPriority w:val="0"/>
    <w:pPr>
      <w:snapToGrid w:val="0"/>
      <w:spacing w:line="280" w:lineRule="exact"/>
      <w:ind w:left="-25" w:leftChars="-12" w:right="-27" w:rightChars="-13"/>
      <w:jc w:val="center"/>
    </w:pPr>
    <w:rPr>
      <w:rFonts w:ascii="宋体" w:hAnsi="宋体" w:eastAsia="宋体" w:cs="Times New Roman"/>
      <w:sz w:val="21"/>
      <w:szCs w:val="21"/>
    </w:rPr>
  </w:style>
  <w:style w:type="paragraph" w:customStyle="1" w:styleId="126">
    <w:name w:val="表格数字"/>
    <w:basedOn w:val="1"/>
    <w:link w:val="127"/>
    <w:uiPriority w:val="0"/>
    <w:pPr>
      <w:spacing w:line="360" w:lineRule="exact"/>
      <w:jc w:val="center"/>
    </w:pPr>
    <w:rPr>
      <w:rFonts w:ascii="Arial" w:hAnsi="Arial" w:eastAsia="宋体" w:cs="宋体"/>
      <w:kern w:val="0"/>
      <w:sz w:val="21"/>
      <w:szCs w:val="20"/>
    </w:rPr>
  </w:style>
  <w:style w:type="character" w:customStyle="1" w:styleId="127">
    <w:name w:val="表格数字 Char"/>
    <w:link w:val="126"/>
    <w:autoRedefine/>
    <w:qFormat/>
    <w:uiPriority w:val="0"/>
    <w:rPr>
      <w:rFonts w:ascii="Arial" w:hAnsi="Arial" w:cs="宋体"/>
      <w:sz w:val="21"/>
    </w:rPr>
  </w:style>
  <w:style w:type="character" w:customStyle="1" w:styleId="128">
    <w:name w:val="正文文本首行缩进 字符"/>
    <w:basedOn w:val="116"/>
    <w:link w:val="45"/>
    <w:autoRedefine/>
    <w:uiPriority w:val="99"/>
    <w:rPr>
      <w:rFonts w:asciiTheme="minorHAnsi" w:hAnsiTheme="minorHAnsi" w:eastAsiaTheme="minorEastAsia" w:cstheme="minorBidi"/>
      <w:kern w:val="2"/>
      <w:sz w:val="24"/>
      <w:szCs w:val="24"/>
    </w:rPr>
  </w:style>
  <w:style w:type="character" w:customStyle="1" w:styleId="129">
    <w:name w:val="表格 Char"/>
    <w:link w:val="69"/>
    <w:autoRedefine/>
    <w:qFormat/>
    <w:locked/>
    <w:uiPriority w:val="0"/>
    <w:rPr>
      <w:rFonts w:asciiTheme="minorHAnsi" w:hAnsiTheme="minorHAnsi" w:cstheme="minorBidi"/>
      <w:kern w:val="2"/>
      <w:sz w:val="24"/>
      <w:szCs w:val="24"/>
    </w:rPr>
  </w:style>
  <w:style w:type="paragraph" w:customStyle="1" w:styleId="130">
    <w:name w:val="表格内居中文字"/>
    <w:basedOn w:val="1"/>
    <w:autoRedefine/>
    <w:qFormat/>
    <w:uiPriority w:val="0"/>
    <w:pPr>
      <w:jc w:val="center"/>
    </w:pPr>
    <w:rPr>
      <w:rFonts w:ascii="Times New Roman" w:hAnsi="Times New Roman" w:eastAsia="宋体" w:cs="Times New Roman"/>
      <w:sz w:val="21"/>
      <w:lang w:val="zh-CN"/>
    </w:rPr>
  </w:style>
  <w:style w:type="paragraph" w:customStyle="1" w:styleId="131">
    <w:name w:val="正文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表格文字"/>
    <w:autoRedefine/>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table" w:customStyle="1" w:styleId="133">
    <w:name w:val="网格型1"/>
    <w:basedOn w:val="47"/>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
    <w:name w:val="Char Char Char Char Char Char Char Char"/>
    <w:basedOn w:val="1"/>
    <w:semiHidden/>
    <w:qFormat/>
    <w:uiPriority w:val="0"/>
    <w:pPr>
      <w:adjustRightInd w:val="0"/>
      <w:snapToGrid w:val="0"/>
      <w:spacing w:line="360" w:lineRule="auto"/>
      <w:ind w:firstLine="200" w:firstLineChars="200"/>
    </w:pPr>
    <w:rPr>
      <w:rFonts w:ascii="宋体" w:hAnsi="宋体" w:eastAsia="宋体" w:cs="宋体"/>
      <w:szCs w:val="26"/>
    </w:rPr>
  </w:style>
  <w:style w:type="paragraph" w:customStyle="1" w:styleId="135">
    <w:name w:val="msonormal"/>
    <w:basedOn w:val="1"/>
    <w:autoRedefine/>
    <w:uiPriority w:val="0"/>
    <w:pPr>
      <w:widowControl/>
      <w:spacing w:before="100" w:beforeAutospacing="1" w:after="100" w:afterAutospacing="1"/>
      <w:jc w:val="left"/>
    </w:pPr>
    <w:rPr>
      <w:rFonts w:ascii="宋体" w:hAnsi="宋体" w:eastAsia="宋体" w:cs="宋体"/>
      <w:kern w:val="0"/>
    </w:rPr>
  </w:style>
  <w:style w:type="paragraph" w:customStyle="1" w:styleId="136">
    <w:name w:val="font5"/>
    <w:basedOn w:val="1"/>
    <w:autoRedefine/>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37">
    <w:name w:val="font6"/>
    <w:basedOn w:val="1"/>
    <w:autoRedefine/>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38">
    <w:name w:val="font7"/>
    <w:basedOn w:val="1"/>
    <w:autoRedefine/>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39">
    <w:name w:val="font8"/>
    <w:basedOn w:val="1"/>
    <w:autoRedefine/>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140">
    <w:name w:val="font9"/>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1">
    <w:name w:val="font10"/>
    <w:basedOn w:val="1"/>
    <w:autoRedefine/>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142">
    <w:name w:val="font11"/>
    <w:basedOn w:val="1"/>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143">
    <w:name w:val="font12"/>
    <w:basedOn w:val="1"/>
    <w:autoRedefine/>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144">
    <w:name w:val="font13"/>
    <w:basedOn w:val="1"/>
    <w:autoRedefine/>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145">
    <w:name w:val="font14"/>
    <w:basedOn w:val="1"/>
    <w:autoRedefine/>
    <w:qFormat/>
    <w:uiPriority w:val="0"/>
    <w:pPr>
      <w:widowControl/>
      <w:spacing w:before="100" w:beforeAutospacing="1" w:after="100" w:afterAutospacing="1"/>
      <w:jc w:val="left"/>
    </w:pPr>
    <w:rPr>
      <w:rFonts w:ascii="微软雅黑" w:hAnsi="微软雅黑" w:eastAsia="微软雅黑" w:cs="宋体"/>
      <w:color w:val="000000"/>
      <w:kern w:val="0"/>
      <w:sz w:val="20"/>
      <w:szCs w:val="20"/>
    </w:rPr>
  </w:style>
  <w:style w:type="paragraph" w:customStyle="1" w:styleId="146">
    <w:name w:val="font15"/>
    <w:basedOn w:val="1"/>
    <w:autoRedefine/>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147">
    <w:name w:val="font16"/>
    <w:basedOn w:val="1"/>
    <w:autoRedefine/>
    <w:qFormat/>
    <w:uiPriority w:val="0"/>
    <w:pPr>
      <w:widowControl/>
      <w:spacing w:before="100" w:beforeAutospacing="1" w:after="100" w:afterAutospacing="1"/>
      <w:jc w:val="left"/>
    </w:pPr>
    <w:rPr>
      <w:rFonts w:ascii="Times New Roman" w:hAnsi="Times New Roman" w:eastAsia="宋体" w:cs="Times New Roman"/>
      <w:color w:val="000000"/>
      <w:kern w:val="0"/>
      <w:sz w:val="18"/>
      <w:szCs w:val="18"/>
    </w:rPr>
  </w:style>
  <w:style w:type="paragraph" w:customStyle="1" w:styleId="148">
    <w:name w:val="xl65"/>
    <w:basedOn w:val="1"/>
    <w:autoRedefine/>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9">
    <w:name w:val="xl66"/>
    <w:basedOn w:val="1"/>
    <w:autoRedefine/>
    <w:uiPriority w:val="0"/>
    <w:pPr>
      <w:widowControl/>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0">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1">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2">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3">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4">
    <w:name w:val="xl71"/>
    <w:basedOn w:val="1"/>
    <w:autoRedefine/>
    <w:qFormat/>
    <w:uiPriority w:val="0"/>
    <w:pPr>
      <w:widowControl/>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5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58">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59">
    <w:name w:val="xl76"/>
    <w:basedOn w:val="1"/>
    <w:autoRedefine/>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6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6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16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163">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64">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6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66">
    <w:name w:val="xl8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67">
    <w:name w:val="xl84"/>
    <w:basedOn w:val="1"/>
    <w:autoRedefine/>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68">
    <w:name w:val="xl85"/>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69">
    <w:name w:val="xl86"/>
    <w:basedOn w:val="1"/>
    <w:autoRedefine/>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70">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71">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172">
    <w:name w:val="xl8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73">
    <w:name w:val="xl9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74">
    <w:name w:val="xl91"/>
    <w:basedOn w:val="1"/>
    <w:autoRedefine/>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75">
    <w:name w:val="xl92"/>
    <w:basedOn w:val="1"/>
    <w:autoRedefine/>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176">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77">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178">
    <w:name w:val="Char Char Char Char Char Char Char Char3"/>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character" w:customStyle="1" w:styleId="179">
    <w:name w:val="标题 3 字符1"/>
    <w:autoRedefine/>
    <w:qFormat/>
    <w:locked/>
    <w:uiPriority w:val="0"/>
    <w:rPr>
      <w:rFonts w:ascii="Times New Roman" w:hAnsi="Times New Roman" w:eastAsia="宋体" w:cs="Times New Roman"/>
      <w:b/>
      <w:bCs/>
      <w:sz w:val="28"/>
      <w:szCs w:val="28"/>
    </w:rPr>
  </w:style>
  <w:style w:type="paragraph" w:customStyle="1" w:styleId="180">
    <w:name w:val="样式 样式 样式20 + 首行缩进:  2 字符 段后: 0.5 行 + 段后: 0.5 行"/>
    <w:basedOn w:val="1"/>
    <w:autoRedefine/>
    <w:qFormat/>
    <w:uiPriority w:val="0"/>
    <w:pPr>
      <w:spacing w:after="156" w:afterLines="50" w:line="360" w:lineRule="auto"/>
      <w:ind w:firstLine="480" w:firstLineChars="200"/>
    </w:pPr>
    <w:rPr>
      <w:rFonts w:ascii="Times New Roman" w:hAnsi="Times New Roman" w:eastAsia="宋体" w:cs="Times New Roman"/>
      <w:szCs w:val="28"/>
    </w:rPr>
  </w:style>
  <w:style w:type="character" w:customStyle="1" w:styleId="181">
    <w:name w:val="正文文本首行缩进 2 字符"/>
    <w:basedOn w:val="95"/>
    <w:autoRedefine/>
    <w:semiHidden/>
    <w:qFormat/>
    <w:uiPriority w:val="99"/>
    <w:rPr>
      <w:rFonts w:asciiTheme="minorHAnsi" w:hAnsiTheme="minorHAnsi" w:eastAsiaTheme="minorEastAsia" w:cstheme="minorBidi"/>
      <w:kern w:val="2"/>
      <w:sz w:val="24"/>
      <w:szCs w:val="24"/>
    </w:rPr>
  </w:style>
  <w:style w:type="paragraph" w:customStyle="1" w:styleId="182">
    <w:name w:val="xl22"/>
    <w:basedOn w:val="1"/>
    <w:autoRedefine/>
    <w:qFormat/>
    <w:uiPriority w:val="0"/>
    <w:pPr>
      <w:widowControl/>
      <w:spacing w:before="100" w:beforeAutospacing="1" w:after="100" w:afterAutospacing="1"/>
      <w:jc w:val="center"/>
    </w:pPr>
    <w:rPr>
      <w:rFonts w:ascii="宋体" w:hAnsi="宋体" w:eastAsia="宋体" w:cs="宋体"/>
      <w:kern w:val="0"/>
    </w:rPr>
  </w:style>
  <w:style w:type="paragraph" w:customStyle="1" w:styleId="183">
    <w:name w:val="xl23"/>
    <w:basedOn w:val="1"/>
    <w:autoRedefine/>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84">
    <w:name w:val="xl28"/>
    <w:basedOn w:val="1"/>
    <w:autoRedefine/>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character" w:customStyle="1" w:styleId="185">
    <w:name w:val="正文文本缩进 2 字符"/>
    <w:basedOn w:val="51"/>
    <w:autoRedefine/>
    <w:semiHidden/>
    <w:qFormat/>
    <w:uiPriority w:val="99"/>
    <w:rPr>
      <w:rFonts w:asciiTheme="minorHAnsi" w:hAnsiTheme="minorHAnsi" w:eastAsiaTheme="minorEastAsia" w:cstheme="minorBidi"/>
      <w:kern w:val="2"/>
      <w:sz w:val="24"/>
      <w:szCs w:val="24"/>
    </w:rPr>
  </w:style>
  <w:style w:type="character" w:customStyle="1" w:styleId="186">
    <w:name w:val="style31"/>
    <w:autoRedefine/>
    <w:qFormat/>
    <w:uiPriority w:val="0"/>
    <w:rPr>
      <w:color w:val="auto"/>
      <w:sz w:val="18"/>
      <w:szCs w:val="18"/>
      <w:u w:val="none"/>
    </w:rPr>
  </w:style>
  <w:style w:type="paragraph" w:customStyle="1" w:styleId="187">
    <w:name w:val="样式 宋体 四号 行距: 1.5 倍行距"/>
    <w:basedOn w:val="1"/>
    <w:autoRedefine/>
    <w:qFormat/>
    <w:uiPriority w:val="0"/>
    <w:pPr>
      <w:spacing w:after="120" w:afterLines="50" w:line="360" w:lineRule="auto"/>
      <w:ind w:firstLine="560" w:firstLineChars="200"/>
    </w:pPr>
    <w:rPr>
      <w:rFonts w:ascii="宋体" w:hAnsi="宋体" w:eastAsia="宋体" w:cs="宋体"/>
      <w:sz w:val="28"/>
      <w:szCs w:val="28"/>
    </w:rPr>
  </w:style>
  <w:style w:type="character" w:customStyle="1" w:styleId="188">
    <w:name w:val="样式 宋体 四号 行距: 1.5 倍行距 Char"/>
    <w:autoRedefine/>
    <w:qFormat/>
    <w:uiPriority w:val="0"/>
    <w:rPr>
      <w:rFonts w:ascii="宋体" w:hAnsi="宋体" w:eastAsia="宋体" w:cs="宋体"/>
      <w:kern w:val="2"/>
      <w:sz w:val="28"/>
      <w:szCs w:val="28"/>
      <w:lang w:val="en-US" w:eastAsia="zh-CN"/>
    </w:rPr>
  </w:style>
  <w:style w:type="paragraph" w:customStyle="1" w:styleId="189">
    <w:name w:val="文本_hunqiu"/>
    <w:basedOn w:val="1"/>
    <w:link w:val="230"/>
    <w:autoRedefine/>
    <w:qFormat/>
    <w:uiPriority w:val="0"/>
    <w:pPr>
      <w:spacing w:line="360" w:lineRule="auto"/>
      <w:ind w:firstLine="560" w:firstLineChars="200"/>
    </w:pPr>
    <w:rPr>
      <w:rFonts w:ascii="Times New Roman" w:hAnsi="Times New Roman" w:eastAsia="宋体" w:cs="Times New Roman"/>
      <w:color w:val="000000"/>
      <w:sz w:val="28"/>
      <w:szCs w:val="28"/>
    </w:rPr>
  </w:style>
  <w:style w:type="character" w:customStyle="1" w:styleId="190">
    <w:name w:val="13b1"/>
    <w:autoRedefine/>
    <w:qFormat/>
    <w:uiPriority w:val="0"/>
    <w:rPr>
      <w:color w:val="000000"/>
      <w:sz w:val="26"/>
      <w:szCs w:val="26"/>
    </w:rPr>
  </w:style>
  <w:style w:type="paragraph" w:customStyle="1" w:styleId="191">
    <w:name w:val="表格表格"/>
    <w:basedOn w:val="1"/>
    <w:link w:val="192"/>
    <w:autoRedefine/>
    <w:qFormat/>
    <w:uiPriority w:val="0"/>
    <w:pPr>
      <w:jc w:val="left"/>
    </w:pPr>
    <w:rPr>
      <w:rFonts w:ascii="Times New Roman" w:hAnsi="Times New Roman" w:eastAsia="宋体" w:cs="Times New Roman"/>
      <w:color w:val="000000"/>
      <w:kern w:val="0"/>
      <w:sz w:val="21"/>
      <w:szCs w:val="21"/>
    </w:rPr>
  </w:style>
  <w:style w:type="character" w:customStyle="1" w:styleId="192">
    <w:name w:val="表格表格 Char"/>
    <w:link w:val="191"/>
    <w:autoRedefine/>
    <w:qFormat/>
    <w:locked/>
    <w:uiPriority w:val="0"/>
    <w:rPr>
      <w:color w:val="000000"/>
      <w:sz w:val="21"/>
      <w:szCs w:val="21"/>
    </w:rPr>
  </w:style>
  <w:style w:type="paragraph" w:customStyle="1" w:styleId="193">
    <w:name w:val="流程图"/>
    <w:basedOn w:val="1"/>
    <w:autoRedefine/>
    <w:qFormat/>
    <w:uiPriority w:val="0"/>
    <w:pPr>
      <w:tabs>
        <w:tab w:val="left" w:pos="0"/>
      </w:tabs>
      <w:autoSpaceDE w:val="0"/>
      <w:autoSpaceDN w:val="0"/>
      <w:adjustRightInd w:val="0"/>
      <w:spacing w:line="240" w:lineRule="atLeast"/>
      <w:ind w:firstLine="200" w:firstLineChars="200"/>
      <w:jc w:val="center"/>
      <w:textAlignment w:val="bottom"/>
    </w:pPr>
    <w:rPr>
      <w:rFonts w:ascii="宋体" w:hAnsi="Times New Roman" w:eastAsia="宋体" w:cs="宋体"/>
      <w:sz w:val="21"/>
      <w:szCs w:val="21"/>
    </w:rPr>
  </w:style>
  <w:style w:type="character" w:customStyle="1" w:styleId="194">
    <w:name w:val="3zw"/>
    <w:basedOn w:val="51"/>
    <w:autoRedefine/>
    <w:qFormat/>
    <w:uiPriority w:val="0"/>
  </w:style>
  <w:style w:type="paragraph" w:customStyle="1" w:styleId="195">
    <w:name w:val="Char4 Char Char Char"/>
    <w:basedOn w:val="1"/>
    <w:autoRedefine/>
    <w:semiHidden/>
    <w:qFormat/>
    <w:uiPriority w:val="0"/>
    <w:pPr>
      <w:adjustRightInd w:val="0"/>
      <w:snapToGrid w:val="0"/>
      <w:spacing w:line="360" w:lineRule="auto"/>
      <w:ind w:firstLine="200" w:firstLineChars="200"/>
    </w:pPr>
    <w:rPr>
      <w:rFonts w:ascii="宋体" w:hAnsi="宋体" w:eastAsia="宋体" w:cs="宋体"/>
    </w:rPr>
  </w:style>
  <w:style w:type="paragraph" w:customStyle="1" w:styleId="196">
    <w:name w:val="样式 左"/>
    <w:basedOn w:val="1"/>
    <w:link w:val="197"/>
    <w:autoRedefine/>
    <w:qFormat/>
    <w:uiPriority w:val="0"/>
    <w:pPr>
      <w:ind w:firstLine="420" w:firstLineChars="200"/>
      <w:jc w:val="left"/>
    </w:pPr>
    <w:rPr>
      <w:rFonts w:ascii="Times New Roman" w:hAnsi="Times New Roman" w:eastAsia="宋体" w:cs="Times New Roman"/>
      <w:sz w:val="21"/>
      <w:szCs w:val="21"/>
    </w:rPr>
  </w:style>
  <w:style w:type="character" w:customStyle="1" w:styleId="197">
    <w:name w:val="样式 左 Char"/>
    <w:link w:val="196"/>
    <w:autoRedefine/>
    <w:qFormat/>
    <w:locked/>
    <w:uiPriority w:val="0"/>
    <w:rPr>
      <w:kern w:val="2"/>
      <w:sz w:val="21"/>
      <w:szCs w:val="21"/>
    </w:rPr>
  </w:style>
  <w:style w:type="paragraph" w:customStyle="1" w:styleId="198">
    <w:name w:val="Char4 Char Char Char1"/>
    <w:basedOn w:val="1"/>
    <w:autoRedefine/>
    <w:semiHidden/>
    <w:qFormat/>
    <w:uiPriority w:val="0"/>
    <w:pPr>
      <w:adjustRightInd w:val="0"/>
      <w:snapToGrid w:val="0"/>
      <w:spacing w:line="360" w:lineRule="auto"/>
      <w:ind w:firstLine="200" w:firstLineChars="200"/>
    </w:pPr>
    <w:rPr>
      <w:rFonts w:ascii="宋体" w:hAnsi="宋体" w:eastAsia="宋体" w:cs="宋体"/>
    </w:rPr>
  </w:style>
  <w:style w:type="paragraph" w:customStyle="1" w:styleId="199">
    <w:name w:val="默认段落字体 Para Char Char Char Char"/>
    <w:basedOn w:val="1"/>
    <w:autoRedefine/>
    <w:qFormat/>
    <w:uiPriority w:val="0"/>
    <w:rPr>
      <w:rFonts w:ascii="Times New Roman" w:hAnsi="Times New Roman" w:eastAsia="宋体" w:cs="Times New Roman"/>
      <w:sz w:val="21"/>
      <w:szCs w:val="21"/>
    </w:rPr>
  </w:style>
  <w:style w:type="character" w:customStyle="1" w:styleId="200">
    <w:name w:val="正文四号 Char1"/>
    <w:autoRedefine/>
    <w:qFormat/>
    <w:uiPriority w:val="0"/>
    <w:rPr>
      <w:rFonts w:eastAsia="宋体"/>
      <w:kern w:val="2"/>
      <w:sz w:val="28"/>
      <w:szCs w:val="28"/>
      <w:lang w:val="en-US" w:eastAsia="zh-CN"/>
    </w:rPr>
  </w:style>
  <w:style w:type="paragraph" w:customStyle="1" w:styleId="201">
    <w:name w:val="修订1"/>
    <w:autoRedefine/>
    <w:hidden/>
    <w:semiHidden/>
    <w:qFormat/>
    <w:uiPriority w:val="99"/>
    <w:rPr>
      <w:rFonts w:ascii="Times New Roman" w:hAnsi="Times New Roman" w:eastAsia="宋体" w:cs="Times New Roman"/>
      <w:kern w:val="2"/>
      <w:sz w:val="28"/>
      <w:szCs w:val="28"/>
      <w:lang w:val="en-US" w:eastAsia="zh-CN" w:bidi="ar-SA"/>
    </w:rPr>
  </w:style>
  <w:style w:type="paragraph" w:customStyle="1" w:styleId="202">
    <w:name w:val="Char Char"/>
    <w:basedOn w:val="1"/>
    <w:autoRedefine/>
    <w:semiHidden/>
    <w:qFormat/>
    <w:uiPriority w:val="0"/>
    <w:pPr>
      <w:adjustRightInd w:val="0"/>
      <w:snapToGrid w:val="0"/>
      <w:spacing w:line="360" w:lineRule="auto"/>
      <w:ind w:firstLine="200" w:firstLineChars="200"/>
    </w:pPr>
    <w:rPr>
      <w:rFonts w:ascii="宋体" w:hAnsi="宋体" w:eastAsia="宋体" w:cs="宋体"/>
    </w:rPr>
  </w:style>
  <w:style w:type="paragraph" w:customStyle="1" w:styleId="203">
    <w:name w:val="Char4 Char Char Char2"/>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table" w:customStyle="1" w:styleId="204">
    <w:name w:val="网格型2"/>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网格型3"/>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网格型4"/>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7">
    <w:name w:val="样式 (符号) 宋体 小四 行距: 单倍行距"/>
    <w:basedOn w:val="1"/>
    <w:autoRedefine/>
    <w:qFormat/>
    <w:uiPriority w:val="0"/>
    <w:pPr>
      <w:ind w:firstLine="480" w:firstLineChars="200"/>
    </w:pPr>
    <w:rPr>
      <w:rFonts w:ascii="Times New Roman" w:hAnsi="宋体" w:eastAsia="宋体" w:cs="宋体"/>
      <w:szCs w:val="20"/>
    </w:rPr>
  </w:style>
  <w:style w:type="paragraph" w:customStyle="1" w:styleId="208">
    <w:name w:val="样式 四号 黑色"/>
    <w:basedOn w:val="1"/>
    <w:link w:val="209"/>
    <w:autoRedefine/>
    <w:qFormat/>
    <w:uiPriority w:val="0"/>
    <w:pPr>
      <w:spacing w:line="360" w:lineRule="auto"/>
      <w:ind w:firstLine="560" w:firstLineChars="200"/>
    </w:pPr>
    <w:rPr>
      <w:rFonts w:ascii="Times New Roman" w:hAnsi="Times New Roman" w:eastAsia="宋体" w:cs="宋体"/>
    </w:rPr>
  </w:style>
  <w:style w:type="character" w:customStyle="1" w:styleId="209">
    <w:name w:val="样式 四号 黑色 Char"/>
    <w:link w:val="208"/>
    <w:autoRedefine/>
    <w:qFormat/>
    <w:uiPriority w:val="0"/>
    <w:rPr>
      <w:rFonts w:cs="宋体"/>
      <w:kern w:val="2"/>
      <w:sz w:val="24"/>
      <w:szCs w:val="24"/>
    </w:rPr>
  </w:style>
  <w:style w:type="paragraph" w:customStyle="1" w:styleId="210">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customStyle="1" w:styleId="211">
    <w:name w:val="样式 样式 四号 黑色 + 首行缩进:  2 字符"/>
    <w:link w:val="212"/>
    <w:autoRedefine/>
    <w:qFormat/>
    <w:uiPriority w:val="0"/>
    <w:pPr>
      <w:spacing w:line="360" w:lineRule="auto"/>
      <w:ind w:firstLine="200" w:firstLineChars="200"/>
    </w:pPr>
    <w:rPr>
      <w:rFonts w:ascii="Times New Roman" w:hAnsi="Times New Roman" w:eastAsia="宋体" w:cs="宋体"/>
      <w:color w:val="000000"/>
      <w:kern w:val="2"/>
      <w:sz w:val="28"/>
      <w:lang w:val="en-US" w:eastAsia="zh-CN" w:bidi="ar-SA"/>
    </w:rPr>
  </w:style>
  <w:style w:type="character" w:customStyle="1" w:styleId="212">
    <w:name w:val="样式 样式 四号 黑色 + 首行缩进:  2 字符 Char"/>
    <w:link w:val="211"/>
    <w:autoRedefine/>
    <w:qFormat/>
    <w:uiPriority w:val="0"/>
    <w:rPr>
      <w:rFonts w:cs="宋体"/>
      <w:color w:val="000000"/>
      <w:kern w:val="2"/>
      <w:sz w:val="28"/>
    </w:rPr>
  </w:style>
  <w:style w:type="paragraph" w:customStyle="1" w:styleId="213">
    <w:name w:val="正文2"/>
    <w:basedOn w:val="1"/>
    <w:autoRedefine/>
    <w:qFormat/>
    <w:uiPriority w:val="0"/>
    <w:pPr>
      <w:overflowPunct w:val="0"/>
      <w:topLinePunct/>
      <w:autoSpaceDE w:val="0"/>
      <w:autoSpaceDN w:val="0"/>
      <w:adjustRightInd w:val="0"/>
      <w:snapToGrid w:val="0"/>
      <w:spacing w:line="460" w:lineRule="exact"/>
      <w:ind w:firstLine="200" w:firstLineChars="200"/>
      <w:textAlignment w:val="baseline"/>
    </w:pPr>
    <w:rPr>
      <w:rFonts w:ascii="Times New Roman" w:hAnsi="Times New Roman" w:eastAsia="宋体" w:cs="Times New Roman"/>
      <w:kern w:val="0"/>
      <w:szCs w:val="20"/>
    </w:rPr>
  </w:style>
  <w:style w:type="paragraph" w:customStyle="1" w:styleId="214">
    <w:name w:val="居中"/>
    <w:basedOn w:val="1"/>
    <w:autoRedefine/>
    <w:qFormat/>
    <w:uiPriority w:val="0"/>
    <w:pPr>
      <w:ind w:firstLine="200" w:firstLineChars="200"/>
      <w:jc w:val="center"/>
    </w:pPr>
    <w:rPr>
      <w:rFonts w:ascii="Times New Roman" w:hAnsi="Times New Roman" w:eastAsia="宋体" w:cs="宋体"/>
      <w:sz w:val="21"/>
      <w:szCs w:val="20"/>
    </w:rPr>
  </w:style>
  <w:style w:type="table" w:customStyle="1" w:styleId="215">
    <w:name w:val="网格型5"/>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6">
    <w:name w:val="样式 标题 3小节标题条标题1.1.1 + 首行缩进:  2 字符"/>
    <w:basedOn w:val="4"/>
    <w:autoRedefine/>
    <w:qFormat/>
    <w:uiPriority w:val="0"/>
    <w:pPr>
      <w:spacing w:before="0" w:after="0" w:line="480" w:lineRule="auto"/>
      <w:ind w:firstLine="561" w:firstLineChars="200"/>
    </w:pPr>
    <w:rPr>
      <w:rFonts w:cs="宋体"/>
      <w:sz w:val="28"/>
      <w:szCs w:val="20"/>
    </w:rPr>
  </w:style>
  <w:style w:type="character" w:customStyle="1" w:styleId="217">
    <w:name w:val="样式 小四"/>
    <w:autoRedefine/>
    <w:qFormat/>
    <w:uiPriority w:val="0"/>
    <w:rPr>
      <w:sz w:val="24"/>
    </w:rPr>
  </w:style>
  <w:style w:type="paragraph" w:customStyle="1" w:styleId="218">
    <w:name w:val="样式 首行缩进:  0.99 厘米"/>
    <w:basedOn w:val="1"/>
    <w:autoRedefine/>
    <w:qFormat/>
    <w:uiPriority w:val="0"/>
    <w:pPr>
      <w:spacing w:line="360" w:lineRule="auto"/>
      <w:ind w:firstLine="560" w:firstLineChars="200"/>
    </w:pPr>
    <w:rPr>
      <w:rFonts w:ascii="Times New Roman" w:hAnsi="Times New Roman" w:eastAsia="宋体" w:cs="宋体"/>
      <w:szCs w:val="20"/>
    </w:rPr>
  </w:style>
  <w:style w:type="paragraph" w:customStyle="1" w:styleId="219">
    <w:name w:val="样式 四号"/>
    <w:basedOn w:val="1"/>
    <w:autoRedefine/>
    <w:qFormat/>
    <w:uiPriority w:val="0"/>
    <w:pPr>
      <w:spacing w:line="360" w:lineRule="auto"/>
      <w:ind w:firstLine="560" w:firstLineChars="200"/>
    </w:pPr>
    <w:rPr>
      <w:rFonts w:ascii="Times New Roman" w:hAnsi="Times New Roman" w:eastAsia="宋体" w:cs="宋体"/>
      <w:szCs w:val="20"/>
    </w:rPr>
  </w:style>
  <w:style w:type="paragraph" w:customStyle="1" w:styleId="220">
    <w:name w:val="文本_zxj"/>
    <w:basedOn w:val="1"/>
    <w:link w:val="221"/>
    <w:autoRedefine/>
    <w:qFormat/>
    <w:uiPriority w:val="0"/>
    <w:pPr>
      <w:spacing w:line="360" w:lineRule="auto"/>
      <w:ind w:firstLine="560" w:firstLineChars="200"/>
    </w:pPr>
    <w:rPr>
      <w:rFonts w:ascii="Times New Roman" w:hAnsi="Times New Roman" w:eastAsia="宋体" w:cs="宋体"/>
      <w:szCs w:val="20"/>
    </w:rPr>
  </w:style>
  <w:style w:type="character" w:customStyle="1" w:styleId="221">
    <w:name w:val="文本_zxj Char"/>
    <w:link w:val="220"/>
    <w:autoRedefine/>
    <w:qFormat/>
    <w:uiPriority w:val="0"/>
    <w:rPr>
      <w:rFonts w:cs="宋体"/>
      <w:kern w:val="2"/>
      <w:sz w:val="24"/>
    </w:rPr>
  </w:style>
  <w:style w:type="paragraph" w:customStyle="1" w:styleId="222">
    <w:name w:val="样式 样式 四号 黑色 + 首行缩进:  2 字符1"/>
    <w:basedOn w:val="208"/>
    <w:autoRedefine/>
    <w:qFormat/>
    <w:uiPriority w:val="0"/>
    <w:rPr>
      <w:szCs w:val="20"/>
    </w:rPr>
  </w:style>
  <w:style w:type="paragraph" w:customStyle="1" w:styleId="223">
    <w:name w:val="xl48"/>
    <w:basedOn w:val="1"/>
    <w:autoRedefine/>
    <w:qFormat/>
    <w:uiPriority w:val="0"/>
    <w:pPr>
      <w:widowControl/>
      <w:pBdr>
        <w:left w:val="single" w:color="auto" w:sz="4" w:space="0"/>
        <w:right w:val="double" w:color="auto" w:sz="6" w:space="0"/>
      </w:pBdr>
      <w:shd w:val="clear" w:color="auto" w:fill="FFFFFF"/>
      <w:spacing w:before="100" w:beforeAutospacing="1" w:after="100" w:afterAutospacing="1"/>
      <w:ind w:firstLine="200" w:firstLineChars="200"/>
      <w:jc w:val="right"/>
      <w:textAlignment w:val="top"/>
    </w:pPr>
    <w:rPr>
      <w:rFonts w:ascii="Arial" w:hAnsi="Arial" w:eastAsia="Arial Unicode MS" w:cs="Arial"/>
      <w:color w:val="000000"/>
      <w:kern w:val="0"/>
    </w:rPr>
  </w:style>
  <w:style w:type="character" w:customStyle="1" w:styleId="224">
    <w:name w:val="content1"/>
    <w:autoRedefine/>
    <w:qFormat/>
    <w:uiPriority w:val="0"/>
    <w:rPr>
      <w:rFonts w:hint="eastAsia" w:ascii="宋体" w:hAnsi="宋体" w:eastAsia="宋体"/>
      <w:color w:val="333333"/>
      <w:sz w:val="21"/>
      <w:szCs w:val="21"/>
    </w:rPr>
  </w:style>
  <w:style w:type="paragraph" w:customStyle="1" w:styleId="225">
    <w:name w:val="xl41"/>
    <w:basedOn w:val="1"/>
    <w:autoRedefine/>
    <w:qFormat/>
    <w:uiPriority w:val="0"/>
    <w:pPr>
      <w:widowControl/>
      <w:pBdr>
        <w:top w:val="single" w:color="auto" w:sz="4" w:space="0"/>
        <w:left w:val="single" w:color="auto" w:sz="4" w:space="0"/>
        <w:bottom w:val="single" w:color="auto" w:sz="4" w:space="0"/>
        <w:right w:val="double" w:color="auto" w:sz="6" w:space="0"/>
      </w:pBdr>
      <w:shd w:val="clear" w:color="auto" w:fill="FF0000"/>
      <w:spacing w:before="100" w:beforeAutospacing="1" w:after="100" w:afterAutospacing="1"/>
      <w:ind w:firstLine="200" w:firstLineChars="200"/>
      <w:jc w:val="center"/>
    </w:pPr>
    <w:rPr>
      <w:rFonts w:ascii="Arial" w:hAnsi="Arial" w:eastAsia="Arial Unicode MS" w:cs="Arial"/>
      <w:b/>
      <w:bCs/>
      <w:color w:val="FFFFFF"/>
      <w:kern w:val="0"/>
      <w:sz w:val="20"/>
      <w:szCs w:val="20"/>
    </w:rPr>
  </w:style>
  <w:style w:type="paragraph" w:customStyle="1" w:styleId="226">
    <w:name w:val="表体"/>
    <w:basedOn w:val="1"/>
    <w:autoRedefine/>
    <w:qFormat/>
    <w:uiPriority w:val="0"/>
    <w:pPr>
      <w:jc w:val="center"/>
    </w:pPr>
    <w:rPr>
      <w:rFonts w:ascii="Times New Roman" w:hAnsi="Times New Roman" w:eastAsia="宋体" w:cs="Times New Roman"/>
      <w:sz w:val="21"/>
    </w:rPr>
  </w:style>
  <w:style w:type="paragraph" w:customStyle="1" w:styleId="227">
    <w:name w:val="标题 2-"/>
    <w:basedOn w:val="3"/>
    <w:link w:val="228"/>
    <w:autoRedefine/>
    <w:qFormat/>
    <w:uiPriority w:val="0"/>
    <w:pPr>
      <w:keepNext w:val="0"/>
      <w:keepLines w:val="0"/>
      <w:adjustRightInd w:val="0"/>
      <w:snapToGrid w:val="0"/>
      <w:spacing w:before="100" w:beforeLines="100" w:after="0" w:line="480" w:lineRule="auto"/>
    </w:pPr>
    <w:rPr>
      <w:rFonts w:ascii="Arial" w:hAnsi="Arial" w:eastAsia="华文中宋" w:cs="Times New Roman"/>
      <w:kern w:val="2"/>
    </w:rPr>
  </w:style>
  <w:style w:type="character" w:customStyle="1" w:styleId="228">
    <w:name w:val="标题 2- Char"/>
    <w:link w:val="227"/>
    <w:autoRedefine/>
    <w:qFormat/>
    <w:uiPriority w:val="0"/>
    <w:rPr>
      <w:rFonts w:ascii="Arial" w:hAnsi="Arial" w:eastAsia="华文中宋"/>
      <w:b/>
      <w:kern w:val="2"/>
      <w:sz w:val="32"/>
      <w:szCs w:val="24"/>
    </w:rPr>
  </w:style>
  <w:style w:type="paragraph" w:customStyle="1" w:styleId="229">
    <w:name w:val="样式 样式 样式 四号 黑色 + 首行缩进:  2 字符 + 小四 下划线 居中"/>
    <w:basedOn w:val="211"/>
    <w:autoRedefine/>
    <w:qFormat/>
    <w:uiPriority w:val="0"/>
    <w:pPr>
      <w:ind w:firstLine="0" w:firstLineChars="0"/>
      <w:jc w:val="center"/>
    </w:pPr>
    <w:rPr>
      <w:sz w:val="24"/>
      <w:u w:val="single"/>
    </w:rPr>
  </w:style>
  <w:style w:type="character" w:customStyle="1" w:styleId="230">
    <w:name w:val="文本_hunqiu Char"/>
    <w:link w:val="189"/>
    <w:autoRedefine/>
    <w:qFormat/>
    <w:uiPriority w:val="0"/>
    <w:rPr>
      <w:color w:val="000000"/>
      <w:kern w:val="2"/>
      <w:sz w:val="28"/>
      <w:szCs w:val="28"/>
    </w:rPr>
  </w:style>
  <w:style w:type="character" w:customStyle="1" w:styleId="231">
    <w:name w:val="标题 字符"/>
    <w:basedOn w:val="51"/>
    <w:autoRedefine/>
    <w:qFormat/>
    <w:uiPriority w:val="10"/>
    <w:rPr>
      <w:rFonts w:asciiTheme="majorHAnsi" w:hAnsiTheme="majorHAnsi" w:eastAsiaTheme="majorEastAsia" w:cstheme="majorBidi"/>
      <w:b/>
      <w:bCs/>
      <w:kern w:val="2"/>
      <w:sz w:val="32"/>
      <w:szCs w:val="32"/>
    </w:rPr>
  </w:style>
  <w:style w:type="paragraph" w:customStyle="1" w:styleId="232">
    <w:name w:val="3213213213"/>
    <w:basedOn w:val="1"/>
    <w:link w:val="233"/>
    <w:autoRedefine/>
    <w:qFormat/>
    <w:uiPriority w:val="0"/>
    <w:pPr>
      <w:spacing w:line="360" w:lineRule="auto"/>
      <w:ind w:firstLine="480" w:firstLineChars="200"/>
    </w:pPr>
    <w:rPr>
      <w:rFonts w:ascii="Times New Roman" w:hAnsi="Times New Roman" w:eastAsia="宋体" w:cs="宋体"/>
      <w:sz w:val="28"/>
      <w:szCs w:val="20"/>
    </w:rPr>
  </w:style>
  <w:style w:type="character" w:customStyle="1" w:styleId="233">
    <w:name w:val="3213213213 Char Char"/>
    <w:link w:val="232"/>
    <w:autoRedefine/>
    <w:qFormat/>
    <w:uiPriority w:val="0"/>
    <w:rPr>
      <w:rFonts w:cs="宋体"/>
      <w:kern w:val="2"/>
      <w:sz w:val="28"/>
    </w:rPr>
  </w:style>
  <w:style w:type="character" w:customStyle="1" w:styleId="234">
    <w:name w:val="样式1 Char2"/>
    <w:link w:val="235"/>
    <w:autoRedefine/>
    <w:qFormat/>
    <w:uiPriority w:val="0"/>
    <w:rPr>
      <w:sz w:val="15"/>
      <w:szCs w:val="15"/>
    </w:rPr>
  </w:style>
  <w:style w:type="paragraph" w:customStyle="1" w:styleId="235">
    <w:name w:val="样式1"/>
    <w:basedOn w:val="29"/>
    <w:link w:val="234"/>
    <w:autoRedefine/>
    <w:qFormat/>
    <w:uiPriority w:val="0"/>
    <w:pPr>
      <w:spacing w:before="360" w:after="360"/>
    </w:pPr>
    <w:rPr>
      <w:rFonts w:ascii="Times New Roman" w:hAnsi="Times New Roman" w:eastAsia="宋体" w:cs="Times New Roman"/>
      <w:sz w:val="15"/>
      <w:szCs w:val="15"/>
    </w:rPr>
  </w:style>
  <w:style w:type="paragraph" w:customStyle="1" w:styleId="236">
    <w:name w:val="样式 小四 行距: 1.5 倍行距"/>
    <w:basedOn w:val="1"/>
    <w:autoRedefine/>
    <w:qFormat/>
    <w:uiPriority w:val="0"/>
    <w:pPr>
      <w:spacing w:line="360" w:lineRule="auto"/>
      <w:ind w:firstLine="480" w:firstLineChars="200"/>
    </w:pPr>
    <w:rPr>
      <w:rFonts w:ascii="Times New Roman" w:hAnsi="Times New Roman" w:eastAsia="宋体" w:cs="宋体"/>
      <w:szCs w:val="20"/>
    </w:rPr>
  </w:style>
  <w:style w:type="paragraph" w:customStyle="1" w:styleId="237">
    <w:name w:val="acee正文"/>
    <w:basedOn w:val="1"/>
    <w:autoRedefine/>
    <w:qFormat/>
    <w:uiPriority w:val="0"/>
    <w:pPr>
      <w:spacing w:line="480" w:lineRule="exact"/>
      <w:ind w:firstLine="640" w:firstLineChars="200"/>
    </w:pPr>
    <w:rPr>
      <w:rFonts w:ascii="仿宋_GB2312" w:hAnsi="宋体" w:eastAsia="仿宋_GB2312" w:cs="Times New Roman"/>
      <w:sz w:val="32"/>
    </w:rPr>
  </w:style>
  <w:style w:type="character" w:customStyle="1" w:styleId="238">
    <w:name w:val="正文文本 3 字符"/>
    <w:basedOn w:val="51"/>
    <w:autoRedefine/>
    <w:semiHidden/>
    <w:qFormat/>
    <w:uiPriority w:val="99"/>
    <w:rPr>
      <w:rFonts w:asciiTheme="minorHAnsi" w:hAnsiTheme="minorHAnsi" w:eastAsiaTheme="minorEastAsia" w:cstheme="minorBidi"/>
      <w:kern w:val="2"/>
      <w:sz w:val="16"/>
      <w:szCs w:val="16"/>
    </w:rPr>
  </w:style>
  <w:style w:type="paragraph" w:customStyle="1" w:styleId="239">
    <w:name w:val="wg"/>
    <w:basedOn w:val="1"/>
    <w:autoRedefine/>
    <w:qFormat/>
    <w:uiPriority w:val="0"/>
    <w:rPr>
      <w:rFonts w:ascii="Times New Roman" w:hAnsi="Times New Roman" w:eastAsia="宋体" w:cs="Times New Roman"/>
      <w:sz w:val="28"/>
      <w:szCs w:val="20"/>
    </w:rPr>
  </w:style>
  <w:style w:type="paragraph" w:customStyle="1" w:styleId="240">
    <w:name w:val="日期1"/>
    <w:basedOn w:val="1"/>
    <w:next w:val="1"/>
    <w:autoRedefine/>
    <w:qFormat/>
    <w:uiPriority w:val="0"/>
    <w:pPr>
      <w:adjustRightInd w:val="0"/>
      <w:textAlignment w:val="baseline"/>
    </w:pPr>
    <w:rPr>
      <w:rFonts w:ascii="Times New Roman" w:hAnsi="Times New Roman" w:eastAsia="宋体" w:cs="Times New Roman"/>
      <w:sz w:val="21"/>
      <w:szCs w:val="20"/>
    </w:rPr>
  </w:style>
  <w:style w:type="paragraph" w:customStyle="1" w:styleId="241">
    <w:name w:val="正文 首行缩进:  2 字符"/>
    <w:basedOn w:val="1"/>
    <w:link w:val="347"/>
    <w:autoRedefine/>
    <w:qFormat/>
    <w:uiPriority w:val="0"/>
    <w:pPr>
      <w:ind w:firstLine="579" w:firstLineChars="200"/>
    </w:pPr>
    <w:rPr>
      <w:rFonts w:ascii="Times New Roman" w:hAnsi="Times New Roman" w:eastAsia="宋体" w:cs="Times New Roman"/>
      <w:sz w:val="28"/>
      <w:szCs w:val="20"/>
    </w:rPr>
  </w:style>
  <w:style w:type="paragraph" w:customStyle="1" w:styleId="242">
    <w:name w:val="样式 标题 3小节标题条标题1.1.1 + 非加粗"/>
    <w:basedOn w:val="4"/>
    <w:autoRedefine/>
    <w:qFormat/>
    <w:uiPriority w:val="0"/>
    <w:pPr>
      <w:spacing w:before="0" w:after="0" w:line="480" w:lineRule="auto"/>
      <w:ind w:firstLine="560" w:firstLineChars="200"/>
    </w:pPr>
    <w:rPr>
      <w:rFonts w:cs="Times New Roman"/>
      <w:bCs w:val="0"/>
      <w:sz w:val="28"/>
      <w:szCs w:val="28"/>
    </w:rPr>
  </w:style>
  <w:style w:type="paragraph" w:customStyle="1" w:styleId="243">
    <w:name w:val="xl34"/>
    <w:basedOn w:val="1"/>
    <w:autoRedefine/>
    <w:qFormat/>
    <w:uiPriority w:val="0"/>
    <w:pPr>
      <w:widowControl/>
      <w:spacing w:before="100" w:beforeAutospacing="1" w:after="100" w:afterAutospacing="1"/>
      <w:jc w:val="center"/>
    </w:pPr>
    <w:rPr>
      <w:rFonts w:ascii="Arial Unicode MS" w:hAnsi="Arial Unicode MS" w:eastAsia="Arial Unicode MS" w:cs="Arial Unicode MS"/>
      <w:kern w:val="0"/>
    </w:rPr>
  </w:style>
  <w:style w:type="paragraph" w:customStyle="1" w:styleId="244">
    <w:name w:val="图框"/>
    <w:basedOn w:val="1"/>
    <w:next w:val="1"/>
    <w:autoRedefine/>
    <w:qFormat/>
    <w:uiPriority w:val="0"/>
    <w:pPr>
      <w:spacing w:line="320" w:lineRule="exact"/>
      <w:jc w:val="center"/>
    </w:pPr>
    <w:rPr>
      <w:rFonts w:ascii="Times New Roman" w:hAnsi="Times New Roman" w:eastAsia="宋体" w:cs="Times New Roman"/>
      <w:sz w:val="21"/>
      <w:szCs w:val="21"/>
    </w:rPr>
  </w:style>
  <w:style w:type="paragraph" w:customStyle="1" w:styleId="245">
    <w:name w:val="纯文本2"/>
    <w:basedOn w:val="1"/>
    <w:autoRedefine/>
    <w:qFormat/>
    <w:uiPriority w:val="0"/>
    <w:pPr>
      <w:spacing w:line="520" w:lineRule="exact"/>
      <w:jc w:val="center"/>
    </w:pPr>
    <w:rPr>
      <w:rFonts w:ascii="Times New Roman" w:hAnsi="Times New Roman" w:eastAsia="宋体" w:cs="Times New Roman"/>
      <w:szCs w:val="22"/>
    </w:rPr>
  </w:style>
  <w:style w:type="paragraph" w:customStyle="1" w:styleId="246">
    <w:name w:val="正文文本 21"/>
    <w:basedOn w:val="1"/>
    <w:autoRedefine/>
    <w:qFormat/>
    <w:uiPriority w:val="0"/>
    <w:pPr>
      <w:adjustRightInd w:val="0"/>
      <w:ind w:firstLine="480"/>
      <w:textAlignment w:val="baseline"/>
    </w:pPr>
    <w:rPr>
      <w:rFonts w:ascii="宋体" w:hAnsi="Times New Roman" w:eastAsia="宋体" w:cs="Times New Roman"/>
      <w:kern w:val="0"/>
      <w:szCs w:val="20"/>
    </w:rPr>
  </w:style>
  <w:style w:type="paragraph" w:customStyle="1" w:styleId="247">
    <w:name w:val="表格样式"/>
    <w:autoRedefine/>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248">
    <w:name w:val="表格内容自定"/>
    <w:basedOn w:val="1"/>
    <w:autoRedefine/>
    <w:qFormat/>
    <w:uiPriority w:val="0"/>
    <w:pPr>
      <w:spacing w:line="280" w:lineRule="exact"/>
      <w:jc w:val="center"/>
    </w:pPr>
    <w:rPr>
      <w:rFonts w:ascii="Times New Roman" w:hAnsi="Times New Roman" w:eastAsia="宋体" w:cs="Times New Roman"/>
      <w:kern w:val="0"/>
      <w:sz w:val="18"/>
      <w:szCs w:val="21"/>
    </w:rPr>
  </w:style>
  <w:style w:type="character" w:customStyle="1" w:styleId="249">
    <w:name w:val="con1"/>
    <w:autoRedefine/>
    <w:qFormat/>
    <w:uiPriority w:val="0"/>
    <w:rPr>
      <w:rFonts w:hint="eastAsia" w:ascii="宋体" w:hAnsi="宋体" w:eastAsia="宋体"/>
      <w:color w:val="666666"/>
      <w:sz w:val="18"/>
      <w:szCs w:val="18"/>
      <w:u w:val="none"/>
    </w:rPr>
  </w:style>
  <w:style w:type="character" w:customStyle="1" w:styleId="250">
    <w:name w:val="hps"/>
    <w:basedOn w:val="51"/>
    <w:autoRedefine/>
    <w:qFormat/>
    <w:uiPriority w:val="0"/>
  </w:style>
  <w:style w:type="paragraph" w:customStyle="1" w:styleId="251">
    <w:name w:val="Char Char Char Char"/>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paragraph" w:customStyle="1" w:styleId="252">
    <w:name w:val="UC标题1"/>
    <w:basedOn w:val="1"/>
    <w:autoRedefine/>
    <w:qFormat/>
    <w:uiPriority w:val="0"/>
    <w:pPr>
      <w:numPr>
        <w:ilvl w:val="0"/>
        <w:numId w:val="1"/>
      </w:numPr>
      <w:autoSpaceDE w:val="0"/>
      <w:adjustRightInd w:val="0"/>
      <w:snapToGrid w:val="0"/>
      <w:spacing w:after="160" w:line="240" w:lineRule="exact"/>
    </w:pPr>
    <w:rPr>
      <w:rFonts w:ascii="Verdana" w:hAnsi="Verdana" w:eastAsia="宋体" w:cs="Verdana"/>
      <w:sz w:val="20"/>
      <w:szCs w:val="20"/>
      <w:lang w:eastAsia="en-US"/>
    </w:rPr>
  </w:style>
  <w:style w:type="paragraph" w:customStyle="1" w:styleId="253">
    <w:name w:val="报告表格"/>
    <w:basedOn w:val="1"/>
    <w:autoRedefine/>
    <w:qFormat/>
    <w:uiPriority w:val="0"/>
    <w:pPr>
      <w:autoSpaceDE w:val="0"/>
      <w:autoSpaceDN w:val="0"/>
      <w:adjustRightInd w:val="0"/>
      <w:spacing w:before="40" w:after="40"/>
      <w:jc w:val="center"/>
    </w:pPr>
    <w:rPr>
      <w:rFonts w:ascii="Times New Roman" w:hAnsi="Times New Roman" w:eastAsia="宋体" w:cs="Times New Roman"/>
      <w:kern w:val="0"/>
      <w:sz w:val="21"/>
      <w:szCs w:val="20"/>
    </w:rPr>
  </w:style>
  <w:style w:type="paragraph" w:customStyle="1" w:styleId="254">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1"/>
      <w:szCs w:val="21"/>
    </w:rPr>
  </w:style>
  <w:style w:type="paragraph" w:customStyle="1" w:styleId="255">
    <w:name w:val="z正文 Char Char Char"/>
    <w:basedOn w:val="1"/>
    <w:autoRedefine/>
    <w:qFormat/>
    <w:uiPriority w:val="0"/>
    <w:pPr>
      <w:spacing w:line="360" w:lineRule="auto"/>
      <w:ind w:firstLine="200" w:firstLineChars="200"/>
    </w:pPr>
    <w:rPr>
      <w:rFonts w:ascii="宋体" w:hAnsi="宋体" w:eastAsia="仿宋_GB2312" w:cs="宋体"/>
      <w:sz w:val="28"/>
      <w:szCs w:val="28"/>
    </w:rPr>
  </w:style>
  <w:style w:type="paragraph" w:customStyle="1" w:styleId="256">
    <w:name w:val="CM15"/>
    <w:basedOn w:val="66"/>
    <w:next w:val="66"/>
    <w:autoRedefine/>
    <w:qFormat/>
    <w:uiPriority w:val="0"/>
    <w:pPr>
      <w:spacing w:after="108"/>
    </w:pPr>
    <w:rPr>
      <w:rFonts w:ascii=".." w:hAnsi="Times New Roman" w:eastAsia="Times New Roman" w:cs=".."/>
      <w:color w:val="auto"/>
    </w:rPr>
  </w:style>
  <w:style w:type="paragraph" w:customStyle="1" w:styleId="257">
    <w:name w:val="三级标题"/>
    <w:basedOn w:val="1"/>
    <w:next w:val="1"/>
    <w:autoRedefine/>
    <w:qFormat/>
    <w:uiPriority w:val="0"/>
    <w:pPr>
      <w:spacing w:before="156" w:beforeLines="50" w:after="156" w:afterLines="50" w:line="360" w:lineRule="exact"/>
      <w:jc w:val="center"/>
    </w:pPr>
    <w:rPr>
      <w:rFonts w:ascii="Times New Roman" w:hAnsi="Times New Roman" w:eastAsia="宋体" w:cs="Times New Roman"/>
      <w:bCs/>
      <w:sz w:val="26"/>
      <w:szCs w:val="26"/>
    </w:rPr>
  </w:style>
  <w:style w:type="character" w:customStyle="1" w:styleId="258">
    <w:name w:val="正文缩进 字符1"/>
    <w:autoRedefine/>
    <w:qFormat/>
    <w:uiPriority w:val="0"/>
    <w:rPr>
      <w:kern w:val="2"/>
      <w:sz w:val="28"/>
      <w:szCs w:val="28"/>
    </w:rPr>
  </w:style>
  <w:style w:type="character" w:customStyle="1" w:styleId="259">
    <w:name w:val="纯文本 字符1"/>
    <w:autoRedefine/>
    <w:qFormat/>
    <w:uiPriority w:val="0"/>
    <w:rPr>
      <w:rFonts w:ascii="宋体" w:hAnsi="宋体" w:cs="宋体"/>
      <w:color w:val="000000"/>
      <w:sz w:val="24"/>
      <w:szCs w:val="24"/>
    </w:rPr>
  </w:style>
  <w:style w:type="paragraph" w:customStyle="1" w:styleId="260">
    <w:name w:val="样式 标题 2 + Times New Roman Char Char"/>
    <w:basedOn w:val="3"/>
    <w:link w:val="261"/>
    <w:autoRedefine/>
    <w:qFormat/>
    <w:uiPriority w:val="0"/>
    <w:pPr>
      <w:keepNext w:val="0"/>
      <w:keepLines w:val="0"/>
      <w:tabs>
        <w:tab w:val="left" w:pos="4990"/>
      </w:tabs>
      <w:adjustRightInd w:val="0"/>
      <w:snapToGrid w:val="0"/>
      <w:spacing w:before="0" w:after="0" w:line="360" w:lineRule="auto"/>
      <w:ind w:firstLine="512" w:firstLineChars="196"/>
    </w:pPr>
    <w:rPr>
      <w:rFonts w:eastAsia="华文中宋" w:cs="Times New Roman"/>
      <w:bCs/>
      <w:kern w:val="2"/>
      <w:sz w:val="26"/>
      <w:szCs w:val="32"/>
    </w:rPr>
  </w:style>
  <w:style w:type="character" w:customStyle="1" w:styleId="261">
    <w:name w:val="样式 标题 2 + Times New Roman Char Char Char"/>
    <w:link w:val="260"/>
    <w:autoRedefine/>
    <w:qFormat/>
    <w:uiPriority w:val="0"/>
    <w:rPr>
      <w:rFonts w:eastAsia="华文中宋"/>
      <w:b/>
      <w:bCs/>
      <w:kern w:val="2"/>
      <w:sz w:val="26"/>
      <w:szCs w:val="32"/>
    </w:rPr>
  </w:style>
  <w:style w:type="character" w:customStyle="1" w:styleId="262">
    <w:name w:val="标题 2 字符1"/>
    <w:autoRedefine/>
    <w:qFormat/>
    <w:uiPriority w:val="0"/>
    <w:rPr>
      <w:rFonts w:ascii="Times New Roman" w:hAnsi="Times New Roman" w:eastAsia="华文中宋" w:cs="Times New Roman"/>
      <w:b/>
      <w:bCs/>
      <w:sz w:val="32"/>
      <w:szCs w:val="28"/>
    </w:rPr>
  </w:style>
  <w:style w:type="paragraph" w:customStyle="1" w:styleId="263">
    <w:name w:val="xl24"/>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character" w:customStyle="1" w:styleId="264">
    <w:name w:val="页眉 Char"/>
    <w:autoRedefine/>
    <w:qFormat/>
    <w:uiPriority w:val="0"/>
    <w:rPr>
      <w:rFonts w:eastAsia="宋体"/>
      <w:kern w:val="2"/>
      <w:sz w:val="18"/>
      <w:szCs w:val="18"/>
      <w:lang w:val="en-US" w:eastAsia="zh-CN" w:bidi="ar-SA"/>
    </w:rPr>
  </w:style>
  <w:style w:type="character" w:customStyle="1" w:styleId="265">
    <w:name w:val="正文文本缩进 3 字符1"/>
    <w:autoRedefine/>
    <w:qFormat/>
    <w:uiPriority w:val="0"/>
    <w:rPr>
      <w:rFonts w:ascii="Times New Roman" w:hAnsi="Times New Roman" w:eastAsia="宋体" w:cs="Times New Roman"/>
      <w:sz w:val="16"/>
      <w:szCs w:val="16"/>
    </w:rPr>
  </w:style>
  <w:style w:type="character" w:customStyle="1" w:styleId="266">
    <w:name w:val="frd1"/>
    <w:autoRedefine/>
    <w:qFormat/>
    <w:uiPriority w:val="0"/>
    <w:rPr>
      <w:color w:val="E10900"/>
    </w:rPr>
  </w:style>
  <w:style w:type="character" w:customStyle="1" w:styleId="267">
    <w:name w:val="search_content1"/>
    <w:autoRedefine/>
    <w:qFormat/>
    <w:uiPriority w:val="0"/>
    <w:rPr>
      <w:sz w:val="20"/>
      <w:szCs w:val="20"/>
    </w:rPr>
  </w:style>
  <w:style w:type="paragraph" w:customStyle="1" w:styleId="268">
    <w:name w:val="默认段落字体 Para Char"/>
    <w:basedOn w:val="1"/>
    <w:next w:val="1"/>
    <w:autoRedefine/>
    <w:qFormat/>
    <w:uiPriority w:val="0"/>
    <w:pPr>
      <w:snapToGrid w:val="0"/>
      <w:spacing w:line="360" w:lineRule="auto"/>
      <w:ind w:firstLine="200" w:firstLineChars="200"/>
    </w:pPr>
    <w:rPr>
      <w:rFonts w:ascii="Times New Roman" w:hAnsi="Times New Roman" w:eastAsia="宋体" w:cs="Times New Roman"/>
      <w:snapToGrid w:val="0"/>
      <w:spacing w:val="10"/>
      <w:kern w:val="0"/>
      <w:szCs w:val="20"/>
    </w:rPr>
  </w:style>
  <w:style w:type="paragraph" w:customStyle="1" w:styleId="269">
    <w:name w:val="3级标题"/>
    <w:basedOn w:val="1"/>
    <w:autoRedefine/>
    <w:qFormat/>
    <w:uiPriority w:val="0"/>
    <w:pPr>
      <w:snapToGrid w:val="0"/>
      <w:spacing w:before="300" w:line="460" w:lineRule="exact"/>
      <w:outlineLvl w:val="2"/>
    </w:pPr>
    <w:rPr>
      <w:rFonts w:ascii="Times New Roman" w:hAnsi="Times New Roman" w:eastAsia="宋体" w:cs="Times New Roman"/>
      <w:b/>
      <w:kern w:val="0"/>
    </w:rPr>
  </w:style>
  <w:style w:type="paragraph" w:customStyle="1" w:styleId="270">
    <w:name w:val="样式 首行缩进:  0 字符1"/>
    <w:basedOn w:val="1"/>
    <w:autoRedefine/>
    <w:qFormat/>
    <w:uiPriority w:val="0"/>
    <w:pPr>
      <w:tabs>
        <w:tab w:val="left" w:pos="432"/>
      </w:tabs>
      <w:spacing w:line="360" w:lineRule="auto"/>
      <w:ind w:left="432" w:hanging="432"/>
      <w:jc w:val="left"/>
    </w:pPr>
    <w:rPr>
      <w:rFonts w:ascii="Times" w:hAnsi="Times" w:eastAsia="宋体" w:cs="宋体"/>
      <w:sz w:val="28"/>
      <w:szCs w:val="20"/>
    </w:rPr>
  </w:style>
  <w:style w:type="paragraph" w:customStyle="1" w:styleId="271">
    <w:name w:val="Plain Text1"/>
    <w:basedOn w:val="1"/>
    <w:autoRedefine/>
    <w:qFormat/>
    <w:uiPriority w:val="0"/>
    <w:pPr>
      <w:autoSpaceDE w:val="0"/>
      <w:autoSpaceDN w:val="0"/>
      <w:adjustRightInd w:val="0"/>
    </w:pPr>
    <w:rPr>
      <w:rFonts w:ascii="宋体" w:hAnsi="Times New Roman" w:eastAsia="宋体" w:cs="Times New Roman"/>
      <w:sz w:val="21"/>
      <w:szCs w:val="20"/>
    </w:rPr>
  </w:style>
  <w:style w:type="paragraph" w:customStyle="1" w:styleId="272">
    <w:name w:val="五号表格"/>
    <w:basedOn w:val="1"/>
    <w:autoRedefine/>
    <w:qFormat/>
    <w:uiPriority w:val="0"/>
    <w:pPr>
      <w:spacing w:line="360" w:lineRule="auto"/>
      <w:jc w:val="center"/>
    </w:pPr>
    <w:rPr>
      <w:rFonts w:ascii="Times New Roman" w:hAnsi="Times New Roman" w:eastAsia="宋体" w:cs="Times New Roman"/>
      <w:kern w:val="0"/>
      <w:szCs w:val="20"/>
    </w:rPr>
  </w:style>
  <w:style w:type="character" w:customStyle="1" w:styleId="273">
    <w:name w:val="正文文本 字符1"/>
    <w:autoRedefine/>
    <w:qFormat/>
    <w:uiPriority w:val="0"/>
    <w:rPr>
      <w:rFonts w:ascii="Times New Roman" w:hAnsi="Times New Roman" w:eastAsia="宋体" w:cs="Times New Roman"/>
      <w:b/>
      <w:sz w:val="24"/>
      <w:szCs w:val="24"/>
    </w:rPr>
  </w:style>
  <w:style w:type="paragraph" w:customStyle="1" w:styleId="274">
    <w:name w:val="正文01"/>
    <w:basedOn w:val="1"/>
    <w:autoRedefine/>
    <w:qFormat/>
    <w:uiPriority w:val="0"/>
    <w:pPr>
      <w:spacing w:before="60" w:line="460" w:lineRule="exact"/>
      <w:ind w:firstLine="200" w:firstLineChars="200"/>
    </w:pPr>
    <w:rPr>
      <w:rFonts w:ascii="Times New Roman" w:hAnsi="Times New Roman" w:eastAsia="宋体" w:cs="Times New Roman"/>
    </w:rPr>
  </w:style>
  <w:style w:type="paragraph" w:customStyle="1" w:styleId="275">
    <w:name w:val="表格2"/>
    <w:basedOn w:val="1"/>
    <w:autoRedefine/>
    <w:qFormat/>
    <w:uiPriority w:val="0"/>
    <w:pPr>
      <w:spacing w:line="400" w:lineRule="exact"/>
      <w:jc w:val="center"/>
    </w:pPr>
    <w:rPr>
      <w:rFonts w:ascii="Times New Roman" w:hAnsi="Times New Roman" w:eastAsia="宋体" w:cs="Times New Roman"/>
      <w:sz w:val="21"/>
      <w:szCs w:val="21"/>
    </w:rPr>
  </w:style>
  <w:style w:type="character" w:customStyle="1" w:styleId="276">
    <w:name w:val="小节标题 Char1"/>
    <w:autoRedefine/>
    <w:qFormat/>
    <w:locked/>
    <w:uiPriority w:val="0"/>
    <w:rPr>
      <w:rFonts w:eastAsia="宋体"/>
      <w:b/>
      <w:bCs/>
      <w:kern w:val="2"/>
      <w:sz w:val="32"/>
      <w:szCs w:val="32"/>
      <w:lang w:val="en-US" w:eastAsia="zh-CN" w:bidi="ar-SA"/>
    </w:rPr>
  </w:style>
  <w:style w:type="paragraph" w:customStyle="1" w:styleId="277">
    <w:name w:val="Char Char Char1 Char Char Char Char Char Char Char Char Char Char"/>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character" w:customStyle="1" w:styleId="278">
    <w:name w:val="节标题 Char Char"/>
    <w:autoRedefine/>
    <w:qFormat/>
    <w:uiPriority w:val="0"/>
    <w:rPr>
      <w:rFonts w:ascii="Arial" w:hAnsi="Arial" w:eastAsia="黑体"/>
      <w:b/>
      <w:bCs/>
      <w:kern w:val="2"/>
      <w:sz w:val="32"/>
      <w:szCs w:val="32"/>
      <w:lang w:val="en-US" w:eastAsia="zh-CN" w:bidi="ar-SA"/>
    </w:rPr>
  </w:style>
  <w:style w:type="character" w:customStyle="1" w:styleId="279">
    <w:name w:val="小节标题 Char Char Char"/>
    <w:autoRedefine/>
    <w:qFormat/>
    <w:uiPriority w:val="0"/>
    <w:rPr>
      <w:rFonts w:eastAsia="宋体"/>
      <w:b/>
      <w:bCs/>
      <w:kern w:val="2"/>
      <w:sz w:val="26"/>
      <w:szCs w:val="32"/>
      <w:lang w:val="en-US" w:eastAsia="zh-CN" w:bidi="ar-SA"/>
    </w:rPr>
  </w:style>
  <w:style w:type="character" w:customStyle="1" w:styleId="280">
    <w:name w:val="正文文本缩进 字符1"/>
    <w:autoRedefine/>
    <w:qFormat/>
    <w:uiPriority w:val="0"/>
    <w:rPr>
      <w:rFonts w:ascii="Times New Roman" w:hAnsi="Times New Roman" w:eastAsia="宋体" w:cs="Times New Roman"/>
      <w:sz w:val="28"/>
      <w:szCs w:val="28"/>
    </w:rPr>
  </w:style>
  <w:style w:type="character" w:customStyle="1" w:styleId="281">
    <w:name w:val="普通文字 Char"/>
    <w:autoRedefine/>
    <w:qFormat/>
    <w:uiPriority w:val="0"/>
    <w:rPr>
      <w:rFonts w:ascii="宋体" w:hAnsi="宋体" w:eastAsia="宋体" w:cs="宋体"/>
      <w:color w:val="000000"/>
      <w:sz w:val="24"/>
      <w:szCs w:val="24"/>
      <w:lang w:val="en-US" w:eastAsia="zh-CN" w:bidi="ar-SA"/>
    </w:rPr>
  </w:style>
  <w:style w:type="paragraph" w:customStyle="1" w:styleId="282">
    <w:name w:val="td4"/>
    <w:basedOn w:val="1"/>
    <w:autoRedefine/>
    <w:qFormat/>
    <w:uiPriority w:val="0"/>
    <w:pPr>
      <w:widowControl/>
      <w:spacing w:before="100" w:beforeAutospacing="1" w:after="100" w:afterAutospacing="1" w:line="300" w:lineRule="atLeast"/>
      <w:jc w:val="left"/>
    </w:pPr>
    <w:rPr>
      <w:rFonts w:ascii="宋体" w:hAnsi="宋体" w:eastAsia="宋体" w:cs="宋体"/>
      <w:color w:val="000000"/>
      <w:kern w:val="0"/>
      <w:sz w:val="18"/>
      <w:szCs w:val="18"/>
    </w:rPr>
  </w:style>
  <w:style w:type="character" w:customStyle="1" w:styleId="283">
    <w:name w:val="unnamed11"/>
    <w:autoRedefine/>
    <w:qFormat/>
    <w:uiPriority w:val="0"/>
    <w:rPr>
      <w:rFonts w:hint="eastAsia" w:ascii="宋体" w:hAnsi="宋体" w:eastAsia="宋体"/>
      <w:sz w:val="14"/>
      <w:szCs w:val="14"/>
      <w:u w:val="none"/>
    </w:rPr>
  </w:style>
  <w:style w:type="paragraph" w:customStyle="1" w:styleId="284">
    <w:name w:val="表题"/>
    <w:basedOn w:val="1"/>
    <w:autoRedefine/>
    <w:qFormat/>
    <w:uiPriority w:val="0"/>
    <w:pPr>
      <w:tabs>
        <w:tab w:val="left" w:pos="720"/>
      </w:tabs>
      <w:spacing w:line="240" w:lineRule="exact"/>
      <w:jc w:val="center"/>
    </w:pPr>
    <w:rPr>
      <w:rFonts w:ascii="Times New Roman" w:hAnsi="Times New Roman" w:eastAsia="宋体" w:cs="Times New Roman"/>
      <w:bCs/>
      <w:color w:val="000000"/>
      <w:sz w:val="22"/>
      <w:szCs w:val="22"/>
    </w:rPr>
  </w:style>
  <w:style w:type="paragraph" w:customStyle="1" w:styleId="285">
    <w:name w:val="表文字 Char Char Char"/>
    <w:link w:val="286"/>
    <w:autoRedefine/>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286">
    <w:name w:val="表文字 Char Char Char Char"/>
    <w:link w:val="285"/>
    <w:autoRedefine/>
    <w:qFormat/>
    <w:uiPriority w:val="0"/>
    <w:rPr>
      <w:sz w:val="21"/>
      <w:szCs w:val="21"/>
    </w:rPr>
  </w:style>
  <w:style w:type="character" w:customStyle="1" w:styleId="287">
    <w:name w:val="正文 Char"/>
    <w:autoRedefine/>
    <w:qFormat/>
    <w:uiPriority w:val="0"/>
    <w:rPr>
      <w:rFonts w:eastAsia="宋体" w:cs="宋体"/>
      <w:sz w:val="24"/>
      <w:szCs w:val="24"/>
      <w:lang w:val="en-US" w:eastAsia="zh-CN" w:bidi="ar-SA"/>
    </w:rPr>
  </w:style>
  <w:style w:type="paragraph" w:customStyle="1" w:styleId="288">
    <w:name w:val="排版正文 Char Char Char"/>
    <w:basedOn w:val="1"/>
    <w:next w:val="1"/>
    <w:link w:val="289"/>
    <w:autoRedefine/>
    <w:qFormat/>
    <w:uiPriority w:val="0"/>
    <w:pPr>
      <w:adjustRightInd w:val="0"/>
      <w:snapToGrid w:val="0"/>
      <w:spacing w:line="460" w:lineRule="exact"/>
      <w:ind w:firstLine="510"/>
    </w:pPr>
    <w:rPr>
      <w:rFonts w:ascii="Times New Roman" w:hAnsi="Times New Roman" w:eastAsia="宋体" w:cs="Times New Roman"/>
      <w:sz w:val="26"/>
      <w:szCs w:val="22"/>
    </w:rPr>
  </w:style>
  <w:style w:type="character" w:customStyle="1" w:styleId="289">
    <w:name w:val="排版正文 Char Char Char Char"/>
    <w:link w:val="288"/>
    <w:autoRedefine/>
    <w:qFormat/>
    <w:uiPriority w:val="0"/>
    <w:rPr>
      <w:kern w:val="2"/>
      <w:sz w:val="26"/>
      <w:szCs w:val="22"/>
    </w:rPr>
  </w:style>
  <w:style w:type="paragraph" w:customStyle="1" w:styleId="290">
    <w:name w:val="排版正文"/>
    <w:basedOn w:val="1"/>
    <w:next w:val="1"/>
    <w:autoRedefine/>
    <w:qFormat/>
    <w:uiPriority w:val="0"/>
    <w:pPr>
      <w:adjustRightInd w:val="0"/>
      <w:snapToGrid w:val="0"/>
      <w:spacing w:line="460" w:lineRule="exact"/>
      <w:ind w:firstLine="510"/>
    </w:pPr>
    <w:rPr>
      <w:rFonts w:ascii="Times New Roman" w:hAnsi="Times New Roman" w:eastAsia="宋体" w:cs="Times New Roman"/>
      <w:sz w:val="26"/>
      <w:szCs w:val="22"/>
    </w:rPr>
  </w:style>
  <w:style w:type="paragraph" w:customStyle="1" w:styleId="291">
    <w:name w:val="标准样式 Char Char"/>
    <w:link w:val="292"/>
    <w:autoRedefine/>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character" w:customStyle="1" w:styleId="292">
    <w:name w:val="标准样式 Char Char Char"/>
    <w:link w:val="291"/>
    <w:autoRedefine/>
    <w:qFormat/>
    <w:uiPriority w:val="0"/>
    <w:rPr>
      <w:sz w:val="28"/>
    </w:rPr>
  </w:style>
  <w:style w:type="paragraph" w:customStyle="1" w:styleId="293">
    <w:name w:val="样式 正文 + 首行缩进:  2 字符"/>
    <w:basedOn w:val="1"/>
    <w:autoRedefine/>
    <w:qFormat/>
    <w:uiPriority w:val="0"/>
    <w:pPr>
      <w:adjustRightInd w:val="0"/>
      <w:spacing w:line="529" w:lineRule="exact"/>
      <w:ind w:firstLine="480" w:firstLineChars="200"/>
      <w:textAlignment w:val="baseline"/>
    </w:pPr>
    <w:rPr>
      <w:rFonts w:ascii="Times New Roman" w:hAnsi="Times New Roman" w:eastAsia="宋体" w:cs="宋体"/>
      <w:kern w:val="0"/>
    </w:rPr>
  </w:style>
  <w:style w:type="paragraph" w:customStyle="1" w:styleId="294">
    <w:name w:val="二级标题"/>
    <w:basedOn w:val="1"/>
    <w:autoRedefine/>
    <w:qFormat/>
    <w:uiPriority w:val="0"/>
    <w:pPr>
      <w:spacing w:line="460" w:lineRule="exact"/>
      <w:ind w:firstLine="200" w:firstLineChars="200"/>
      <w:jc w:val="left"/>
    </w:pPr>
    <w:rPr>
      <w:rFonts w:ascii="Times New Roman" w:hAnsi="Times New Roman" w:eastAsia="宋体" w:cs="Times New Roman"/>
      <w:b/>
      <w:sz w:val="26"/>
    </w:rPr>
  </w:style>
  <w:style w:type="paragraph" w:customStyle="1" w:styleId="295">
    <w:name w:val="2级标题"/>
    <w:basedOn w:val="1"/>
    <w:autoRedefine/>
    <w:qFormat/>
    <w:uiPriority w:val="0"/>
    <w:pPr>
      <w:spacing w:line="460" w:lineRule="exact"/>
      <w:ind w:firstLine="200" w:firstLineChars="200"/>
    </w:pPr>
    <w:rPr>
      <w:rFonts w:ascii="Times New Roman" w:hAnsi="Times New Roman" w:eastAsia="宋体" w:cs="宋体"/>
      <w:b/>
      <w:sz w:val="26"/>
      <w:szCs w:val="26"/>
    </w:rPr>
  </w:style>
  <w:style w:type="paragraph" w:customStyle="1" w:styleId="296">
    <w:name w:val="表文"/>
    <w:basedOn w:val="1"/>
    <w:autoRedefine/>
    <w:qFormat/>
    <w:uiPriority w:val="0"/>
    <w:pPr>
      <w:overflowPunct w:val="0"/>
      <w:spacing w:line="240" w:lineRule="exact"/>
      <w:ind w:left="220" w:hanging="220" w:hangingChars="100"/>
      <w:jc w:val="center"/>
    </w:pPr>
    <w:rPr>
      <w:rFonts w:ascii="Times New Roman" w:hAnsi="Times New Roman" w:eastAsia="宋体" w:cs="Times New Roman"/>
      <w:snapToGrid w:val="0"/>
      <w:color w:val="0000FF"/>
      <w:sz w:val="22"/>
      <w:szCs w:val="22"/>
    </w:rPr>
  </w:style>
  <w:style w:type="paragraph" w:customStyle="1" w:styleId="297">
    <w:name w:val="普通(Web)1"/>
    <w:basedOn w:val="1"/>
    <w:autoRedefine/>
    <w:qFormat/>
    <w:uiPriority w:val="0"/>
    <w:pPr>
      <w:widowControl/>
      <w:jc w:val="left"/>
    </w:pPr>
    <w:rPr>
      <w:rFonts w:ascii="宋体" w:hAnsi="宋体" w:eastAsia="宋体" w:cs="宋体"/>
      <w:color w:val="000000"/>
      <w:kern w:val="0"/>
    </w:rPr>
  </w:style>
  <w:style w:type="paragraph" w:customStyle="1" w:styleId="298">
    <w:name w:val="1"/>
    <w:basedOn w:val="1"/>
    <w:next w:val="24"/>
    <w:autoRedefine/>
    <w:qFormat/>
    <w:uiPriority w:val="0"/>
    <w:rPr>
      <w:rFonts w:ascii="宋体" w:hAnsi="Courier New" w:eastAsia="宋体" w:cs="Times New Roman"/>
      <w:sz w:val="21"/>
      <w:szCs w:val="20"/>
    </w:rPr>
  </w:style>
  <w:style w:type="paragraph" w:customStyle="1" w:styleId="299">
    <w:name w:val="样式 左 首行缩进:  1.01 厘米 Char Char"/>
    <w:basedOn w:val="1"/>
    <w:link w:val="300"/>
    <w:autoRedefine/>
    <w:qFormat/>
    <w:uiPriority w:val="0"/>
    <w:pPr>
      <w:adjustRightInd w:val="0"/>
      <w:snapToGrid w:val="0"/>
      <w:spacing w:line="460" w:lineRule="exact"/>
      <w:ind w:firstLine="200" w:firstLineChars="200"/>
    </w:pPr>
    <w:rPr>
      <w:rFonts w:ascii="Times New Roman" w:hAnsi="Times New Roman" w:eastAsia="宋体" w:cs="宋体"/>
      <w:sz w:val="26"/>
      <w:szCs w:val="26"/>
    </w:rPr>
  </w:style>
  <w:style w:type="character" w:customStyle="1" w:styleId="300">
    <w:name w:val="样式 左 首行缩进:  1.01 厘米 Char Char Char"/>
    <w:link w:val="299"/>
    <w:autoRedefine/>
    <w:qFormat/>
    <w:uiPriority w:val="0"/>
    <w:rPr>
      <w:rFonts w:cs="宋体"/>
      <w:kern w:val="2"/>
      <w:sz w:val="26"/>
      <w:szCs w:val="26"/>
    </w:rPr>
  </w:style>
  <w:style w:type="character" w:customStyle="1" w:styleId="301">
    <w:name w:val="style4"/>
    <w:basedOn w:val="51"/>
    <w:autoRedefine/>
    <w:uiPriority w:val="0"/>
  </w:style>
  <w:style w:type="character" w:customStyle="1" w:styleId="302">
    <w:name w:val="普通文字 Char1"/>
    <w:autoRedefine/>
    <w:uiPriority w:val="0"/>
    <w:rPr>
      <w:rFonts w:ascii="宋体" w:hAnsi="Courier New" w:eastAsia="宋体"/>
      <w:kern w:val="2"/>
      <w:sz w:val="21"/>
      <w:szCs w:val="24"/>
      <w:lang w:val="en-US" w:eastAsia="zh-CN" w:bidi="ar-SA"/>
    </w:rPr>
  </w:style>
  <w:style w:type="paragraph" w:customStyle="1" w:styleId="303">
    <w:name w:val="Body Text 21"/>
    <w:basedOn w:val="1"/>
    <w:qFormat/>
    <w:uiPriority w:val="0"/>
    <w:pPr>
      <w:adjustRightInd w:val="0"/>
      <w:spacing w:line="500" w:lineRule="exact"/>
      <w:jc w:val="center"/>
      <w:textAlignment w:val="baseline"/>
    </w:pPr>
    <w:rPr>
      <w:rFonts w:ascii="Times New Roman" w:hAnsi="Times New Roman" w:eastAsia="宋体" w:cs="Times New Roman"/>
      <w:kern w:val="0"/>
      <w:sz w:val="21"/>
      <w:szCs w:val="21"/>
    </w:rPr>
  </w:style>
  <w:style w:type="paragraph" w:customStyle="1" w:styleId="304">
    <w:name w:val="样式1.1.1"/>
    <w:basedOn w:val="1"/>
    <w:autoRedefine/>
    <w:uiPriority w:val="0"/>
    <w:pPr>
      <w:spacing w:line="360" w:lineRule="auto"/>
    </w:pPr>
    <w:rPr>
      <w:rFonts w:ascii="Times New Roman" w:hAnsi="宋体" w:eastAsia="宋体" w:cs="Times New Roman"/>
      <w:b/>
      <w:sz w:val="28"/>
      <w:szCs w:val="20"/>
    </w:rPr>
  </w:style>
  <w:style w:type="paragraph" w:customStyle="1" w:styleId="305">
    <w:name w:val="表文字"/>
    <w:basedOn w:val="1"/>
    <w:autoRedefine/>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kern w:val="0"/>
      <w:szCs w:val="20"/>
    </w:rPr>
  </w:style>
  <w:style w:type="paragraph" w:customStyle="1" w:styleId="306">
    <w:name w:val="环评"/>
    <w:basedOn w:val="1"/>
    <w:qFormat/>
    <w:uiPriority w:val="0"/>
    <w:pPr>
      <w:spacing w:before="60" w:after="60" w:line="360" w:lineRule="exact"/>
    </w:pPr>
    <w:rPr>
      <w:rFonts w:ascii="Times New Roman" w:hAnsi="Times New Roman" w:eastAsia="仿宋_GB2312" w:cs="Times New Roman"/>
      <w:bCs/>
    </w:rPr>
  </w:style>
  <w:style w:type="paragraph" w:customStyle="1" w:styleId="307">
    <w:name w:val="正文四号 Char Char Char"/>
    <w:basedOn w:val="1"/>
    <w:link w:val="308"/>
    <w:autoRedefine/>
    <w:uiPriority w:val="0"/>
    <w:pPr>
      <w:spacing w:line="360" w:lineRule="auto"/>
      <w:ind w:firstLine="200" w:firstLineChars="200"/>
    </w:pPr>
    <w:rPr>
      <w:rFonts w:ascii="Times New Roman" w:hAnsi="Times New Roman" w:eastAsia="宋体" w:cs="宋体"/>
    </w:rPr>
  </w:style>
  <w:style w:type="character" w:customStyle="1" w:styleId="308">
    <w:name w:val="正文四号 Char Char Char Char"/>
    <w:link w:val="307"/>
    <w:autoRedefine/>
    <w:qFormat/>
    <w:uiPriority w:val="0"/>
    <w:rPr>
      <w:rFonts w:cs="宋体"/>
      <w:kern w:val="2"/>
      <w:sz w:val="24"/>
      <w:szCs w:val="24"/>
    </w:rPr>
  </w:style>
  <w:style w:type="paragraph" w:customStyle="1" w:styleId="309">
    <w:name w:val="小四表格"/>
    <w:basedOn w:val="1"/>
    <w:autoRedefine/>
    <w:qFormat/>
    <w:uiPriority w:val="0"/>
    <w:pPr>
      <w:snapToGrid w:val="0"/>
      <w:jc w:val="center"/>
    </w:pPr>
    <w:rPr>
      <w:rFonts w:ascii="Times New Roman" w:hAnsi="Times New Roman" w:eastAsia="宋体" w:cs="Times New Roman"/>
      <w:kern w:val="0"/>
      <w:szCs w:val="20"/>
    </w:rPr>
  </w:style>
  <w:style w:type="paragraph" w:customStyle="1" w:styleId="310">
    <w:name w:val="图文框"/>
    <w:basedOn w:val="1"/>
    <w:autoRedefine/>
    <w:qFormat/>
    <w:uiPriority w:val="0"/>
    <w:pPr>
      <w:autoSpaceDE w:val="0"/>
      <w:autoSpaceDN w:val="0"/>
      <w:adjustRightInd w:val="0"/>
      <w:snapToGrid w:val="0"/>
      <w:spacing w:line="320" w:lineRule="exact"/>
      <w:jc w:val="center"/>
      <w:textAlignment w:val="baseline"/>
    </w:pPr>
    <w:rPr>
      <w:rFonts w:ascii="Times New Roman" w:hAnsi="Times New Roman" w:eastAsia="仿宋_GB2312" w:cs="Times New Roman"/>
      <w:kern w:val="0"/>
      <w:sz w:val="21"/>
      <w:szCs w:val="20"/>
    </w:rPr>
  </w:style>
  <w:style w:type="paragraph" w:customStyle="1" w:styleId="311">
    <w:name w:val="正文11"/>
    <w:basedOn w:val="1"/>
    <w:qFormat/>
    <w:uiPriority w:val="0"/>
    <w:pPr>
      <w:adjustRightInd w:val="0"/>
      <w:spacing w:line="410" w:lineRule="atLeast"/>
      <w:jc w:val="left"/>
      <w:textAlignment w:val="baseline"/>
    </w:pPr>
    <w:rPr>
      <w:rFonts w:ascii="宋体" w:hAnsi="Times New Roman" w:eastAsia="宋体" w:cs="Times New Roman"/>
      <w:kern w:val="0"/>
      <w:szCs w:val="20"/>
    </w:rPr>
  </w:style>
  <w:style w:type="character" w:customStyle="1" w:styleId="312">
    <w:name w:val="xb"/>
    <w:basedOn w:val="51"/>
    <w:qFormat/>
    <w:uiPriority w:val="0"/>
  </w:style>
  <w:style w:type="character" w:customStyle="1" w:styleId="313">
    <w:name w:val="sb"/>
    <w:basedOn w:val="51"/>
    <w:uiPriority w:val="0"/>
  </w:style>
  <w:style w:type="paragraph" w:customStyle="1" w:styleId="314">
    <w:name w:val="样式1."/>
    <w:basedOn w:val="1"/>
    <w:qFormat/>
    <w:uiPriority w:val="0"/>
    <w:pPr>
      <w:adjustRightInd w:val="0"/>
      <w:snapToGrid w:val="0"/>
      <w:spacing w:line="460" w:lineRule="exact"/>
    </w:pPr>
    <w:rPr>
      <w:rFonts w:ascii="黑体" w:hAnsi="Times New Roman" w:eastAsia="黑体" w:cs="Times New Roman"/>
      <w:b/>
      <w:sz w:val="30"/>
      <w:szCs w:val="20"/>
    </w:rPr>
  </w:style>
  <w:style w:type="character" w:customStyle="1" w:styleId="315">
    <w:name w:val="unnamed1"/>
    <w:basedOn w:val="51"/>
    <w:autoRedefine/>
    <w:qFormat/>
    <w:uiPriority w:val="0"/>
  </w:style>
  <w:style w:type="paragraph" w:customStyle="1" w:styleId="316">
    <w:name w:val="正1"/>
    <w:basedOn w:val="1"/>
    <w:autoRedefine/>
    <w:qFormat/>
    <w:uiPriority w:val="0"/>
    <w:pPr>
      <w:spacing w:before="60" w:after="60" w:line="400" w:lineRule="exact"/>
      <w:ind w:right="32" w:firstLine="612"/>
    </w:pPr>
    <w:rPr>
      <w:rFonts w:ascii="宋体" w:hAnsi="Times New Roman" w:eastAsia="宋体" w:cs="Times New Roman"/>
      <w:sz w:val="28"/>
      <w:szCs w:val="20"/>
    </w:rPr>
  </w:style>
  <w:style w:type="paragraph" w:customStyle="1" w:styleId="317">
    <w:name w:val="样式3"/>
    <w:basedOn w:val="1"/>
    <w:autoRedefine/>
    <w:qFormat/>
    <w:uiPriority w:val="0"/>
    <w:rPr>
      <w:rFonts w:ascii="Times New Roman" w:hAnsi="Times New Roman" w:eastAsia="宋体" w:cs="Times New Roman"/>
      <w:b/>
      <w:sz w:val="28"/>
      <w:szCs w:val="20"/>
    </w:rPr>
  </w:style>
  <w:style w:type="paragraph" w:customStyle="1" w:styleId="318">
    <w:name w:val="一级标题"/>
    <w:next w:val="1"/>
    <w:qFormat/>
    <w:uiPriority w:val="0"/>
    <w:pPr>
      <w:spacing w:before="156" w:beforeLines="50" w:after="156" w:afterLines="50" w:line="360" w:lineRule="exact"/>
      <w:jc w:val="center"/>
    </w:pPr>
    <w:rPr>
      <w:rFonts w:ascii="Times New Roman" w:hAnsi="Times New Roman" w:eastAsia="仿宋_GB2312" w:cs="Times New Roman"/>
      <w:b/>
      <w:bCs/>
      <w:sz w:val="32"/>
      <w:lang w:val="en-US" w:eastAsia="zh-CN" w:bidi="ar-SA"/>
    </w:rPr>
  </w:style>
  <w:style w:type="paragraph" w:customStyle="1" w:styleId="319">
    <w:name w:val="样式 表文 + 首行缩进:  2 字符"/>
    <w:basedOn w:val="1"/>
    <w:autoRedefine/>
    <w:qFormat/>
    <w:uiPriority w:val="0"/>
    <w:pPr>
      <w:overflowPunct w:val="0"/>
      <w:jc w:val="center"/>
      <w:textAlignment w:val="baseline"/>
    </w:pPr>
    <w:rPr>
      <w:rFonts w:ascii="Times New Roman" w:hAnsi="Times New Roman" w:eastAsia="宋体" w:cs="Times New Roman"/>
      <w:color w:val="000000"/>
      <w:sz w:val="21"/>
      <w:szCs w:val="20"/>
    </w:rPr>
  </w:style>
  <w:style w:type="paragraph" w:customStyle="1" w:styleId="320">
    <w:name w:val="样式 表名 + 首行缩进:  0.74 厘米"/>
    <w:basedOn w:val="1"/>
    <w:autoRedefine/>
    <w:uiPriority w:val="0"/>
    <w:pPr>
      <w:overflowPunct w:val="0"/>
      <w:spacing w:line="360" w:lineRule="auto"/>
      <w:jc w:val="center"/>
      <w:textAlignment w:val="baseline"/>
    </w:pPr>
    <w:rPr>
      <w:rFonts w:ascii="Arial" w:hAnsi="Arial" w:eastAsia="黑体" w:cs="Times New Roman"/>
      <w:color w:val="000000"/>
      <w:sz w:val="21"/>
      <w:szCs w:val="20"/>
    </w:rPr>
  </w:style>
  <w:style w:type="paragraph" w:customStyle="1" w:styleId="321">
    <w:name w:val="标题1"/>
    <w:basedOn w:val="318"/>
    <w:autoRedefine/>
    <w:qFormat/>
    <w:uiPriority w:val="0"/>
  </w:style>
  <w:style w:type="paragraph" w:customStyle="1" w:styleId="322">
    <w:name w:val="册除格式 Char Char"/>
    <w:autoRedefine/>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323">
    <w:name w:val="2"/>
    <w:basedOn w:val="1"/>
    <w:next w:val="19"/>
    <w:autoRedefine/>
    <w:uiPriority w:val="0"/>
    <w:pPr>
      <w:spacing w:line="440" w:lineRule="exact"/>
      <w:ind w:left="902" w:firstLine="480" w:firstLineChars="200"/>
    </w:pPr>
    <w:rPr>
      <w:rFonts w:ascii="宋体" w:hAnsi="宋体" w:eastAsia="宋体" w:cs="Times New Roman"/>
      <w:szCs w:val="20"/>
    </w:rPr>
  </w:style>
  <w:style w:type="paragraph" w:customStyle="1" w:styleId="324">
    <w:name w:val="环评标题二级"/>
    <w:basedOn w:val="2"/>
    <w:qFormat/>
    <w:uiPriority w:val="0"/>
    <w:pPr>
      <w:keepNext w:val="0"/>
      <w:keepLines w:val="0"/>
      <w:spacing w:before="163" w:after="163" w:line="360" w:lineRule="exact"/>
      <w:jc w:val="left"/>
    </w:pPr>
    <w:rPr>
      <w:rFonts w:eastAsia="黑体" w:cs="Times New Roman"/>
    </w:rPr>
  </w:style>
  <w:style w:type="paragraph" w:customStyle="1" w:styleId="325">
    <w:name w:val="文本框"/>
    <w:basedOn w:val="1"/>
    <w:qFormat/>
    <w:uiPriority w:val="0"/>
    <w:pPr>
      <w:adjustRightInd w:val="0"/>
      <w:snapToGrid w:val="0"/>
      <w:spacing w:after="6"/>
      <w:jc w:val="center"/>
    </w:pPr>
    <w:rPr>
      <w:rFonts w:ascii="Times New Roman" w:hAnsi="Times New Roman" w:eastAsia="仿宋_GB2312" w:cs="Times New Roman"/>
      <w:sz w:val="21"/>
    </w:rPr>
  </w:style>
  <w:style w:type="paragraph" w:customStyle="1" w:styleId="326">
    <w:name w:val="环评标题一级"/>
    <w:basedOn w:val="2"/>
    <w:qFormat/>
    <w:uiPriority w:val="0"/>
    <w:pPr>
      <w:keepNext w:val="0"/>
      <w:keepLines w:val="0"/>
      <w:spacing w:before="163" w:after="163" w:line="360" w:lineRule="exact"/>
      <w:jc w:val="center"/>
    </w:pPr>
    <w:rPr>
      <w:rFonts w:eastAsia="黑体" w:cs="Times New Roman"/>
      <w:sz w:val="32"/>
    </w:rPr>
  </w:style>
  <w:style w:type="paragraph" w:customStyle="1" w:styleId="327">
    <w:name w:val="环评标题三级"/>
    <w:basedOn w:val="3"/>
    <w:qFormat/>
    <w:uiPriority w:val="0"/>
    <w:pPr>
      <w:keepNext w:val="0"/>
      <w:keepLines w:val="0"/>
      <w:tabs>
        <w:tab w:val="left" w:pos="4990"/>
      </w:tabs>
      <w:spacing w:before="163" w:after="163" w:afterLines="50" w:line="360" w:lineRule="exact"/>
      <w:jc w:val="left"/>
      <w:outlineLvl w:val="2"/>
    </w:pPr>
    <w:rPr>
      <w:rFonts w:eastAsia="华文中宋" w:cs="Times New Roman"/>
      <w:bCs/>
      <w:kern w:val="2"/>
      <w:sz w:val="24"/>
      <w:szCs w:val="32"/>
    </w:rPr>
  </w:style>
  <w:style w:type="paragraph" w:customStyle="1" w:styleId="328">
    <w:name w:val="表下注释"/>
    <w:basedOn w:val="112"/>
    <w:autoRedefine/>
    <w:uiPriority w:val="0"/>
    <w:pPr>
      <w:keepNext/>
      <w:keepLines/>
      <w:adjustRightInd w:val="0"/>
      <w:snapToGrid w:val="0"/>
      <w:spacing w:line="240" w:lineRule="exact"/>
      <w:ind w:firstLine="0" w:firstLineChars="0"/>
    </w:pPr>
    <w:rPr>
      <w:bCs/>
      <w:kern w:val="44"/>
      <w:sz w:val="21"/>
      <w:szCs w:val="44"/>
    </w:rPr>
  </w:style>
  <w:style w:type="paragraph" w:customStyle="1" w:styleId="329">
    <w:name w:val="文本框内文字"/>
    <w:basedOn w:val="1"/>
    <w:autoRedefine/>
    <w:qFormat/>
    <w:uiPriority w:val="0"/>
    <w:pPr>
      <w:spacing w:line="240" w:lineRule="exact"/>
      <w:ind w:left="-120" w:leftChars="-50" w:right="-120" w:rightChars="-50"/>
      <w:jc w:val="center"/>
    </w:pPr>
    <w:rPr>
      <w:rFonts w:ascii="仿宋_GB2312" w:hAnsi="Times New Roman" w:eastAsia="仿宋_GB2312" w:cs="Times New Roman"/>
    </w:rPr>
  </w:style>
  <w:style w:type="paragraph" w:customStyle="1" w:styleId="330">
    <w:name w:val="td1"/>
    <w:basedOn w:val="1"/>
    <w:uiPriority w:val="0"/>
    <w:pPr>
      <w:widowControl/>
      <w:spacing w:before="100" w:beforeAutospacing="1" w:after="100" w:afterAutospacing="1" w:line="300" w:lineRule="atLeast"/>
      <w:jc w:val="left"/>
    </w:pPr>
    <w:rPr>
      <w:rFonts w:ascii="Times New Roman" w:hAnsi="Times New Roman" w:eastAsia="宋体" w:cs="Times New Roman"/>
      <w:color w:val="000000"/>
      <w:kern w:val="0"/>
      <w:sz w:val="18"/>
      <w:szCs w:val="18"/>
    </w:rPr>
  </w:style>
  <w:style w:type="character" w:customStyle="1" w:styleId="331">
    <w:name w:val="标题2"/>
    <w:basedOn w:val="51"/>
    <w:autoRedefine/>
    <w:uiPriority w:val="0"/>
  </w:style>
  <w:style w:type="paragraph" w:customStyle="1" w:styleId="332">
    <w:name w:val="样式 标题 2节标题 + Times New Roman 红色"/>
    <w:basedOn w:val="3"/>
    <w:autoRedefine/>
    <w:uiPriority w:val="0"/>
    <w:pPr>
      <w:keepNext w:val="0"/>
      <w:keepLines w:val="0"/>
      <w:tabs>
        <w:tab w:val="left" w:pos="4990"/>
      </w:tabs>
      <w:spacing w:before="120" w:after="60" w:line="360" w:lineRule="auto"/>
    </w:pPr>
    <w:rPr>
      <w:rFonts w:eastAsia="华文中宋" w:cs="宋体"/>
      <w:bCs/>
      <w:color w:val="FF0000"/>
      <w:kern w:val="2"/>
      <w:sz w:val="26"/>
      <w:szCs w:val="20"/>
    </w:rPr>
  </w:style>
  <w:style w:type="paragraph" w:customStyle="1" w:styleId="333">
    <w:name w:val="xl27"/>
    <w:basedOn w:val="1"/>
    <w:autoRedefine/>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rPr>
  </w:style>
  <w:style w:type="paragraph" w:customStyle="1" w:styleId="334">
    <w:name w:val="Char Char Char Char Char2 Char"/>
    <w:basedOn w:val="1"/>
    <w:autoRedefine/>
    <w:qFormat/>
    <w:uiPriority w:val="0"/>
    <w:pPr>
      <w:adjustRightInd w:val="0"/>
      <w:snapToGrid w:val="0"/>
      <w:spacing w:line="360" w:lineRule="auto"/>
      <w:ind w:firstLine="200" w:firstLineChars="200"/>
    </w:pPr>
    <w:rPr>
      <w:rFonts w:ascii="宋体" w:hAnsi="宋体" w:eastAsia="宋体" w:cs="宋体"/>
      <w:szCs w:val="26"/>
    </w:rPr>
  </w:style>
  <w:style w:type="paragraph" w:customStyle="1" w:styleId="335">
    <w:name w:val="Char Char1"/>
    <w:basedOn w:val="1"/>
    <w:autoRedefine/>
    <w:semiHidden/>
    <w:qFormat/>
    <w:uiPriority w:val="0"/>
    <w:pPr>
      <w:adjustRightInd w:val="0"/>
      <w:snapToGrid w:val="0"/>
      <w:spacing w:beforeLines="50" w:afterLines="50" w:line="480" w:lineRule="exact"/>
      <w:ind w:firstLine="200" w:firstLineChars="200"/>
    </w:pPr>
    <w:rPr>
      <w:rFonts w:ascii="Tahoma" w:hAnsi="Tahoma" w:eastAsia="宋体" w:cs="Times New Roman"/>
      <w:szCs w:val="20"/>
    </w:rPr>
  </w:style>
  <w:style w:type="paragraph" w:customStyle="1" w:styleId="336">
    <w:name w:val="样式 样式 四号 + 首行缩进:  2 字符"/>
    <w:basedOn w:val="1"/>
    <w:qFormat/>
    <w:uiPriority w:val="0"/>
    <w:pPr>
      <w:spacing w:line="240" w:lineRule="atLeast"/>
      <w:ind w:firstLine="200" w:firstLineChars="200"/>
    </w:pPr>
    <w:rPr>
      <w:rFonts w:ascii="Times New Roman" w:hAnsi="Times New Roman" w:eastAsia="宋体" w:cs="宋体"/>
      <w:sz w:val="28"/>
      <w:szCs w:val="20"/>
    </w:rPr>
  </w:style>
  <w:style w:type="paragraph" w:customStyle="1" w:styleId="337">
    <w:name w:val="样式 纯文本普通文字 + (中文) 宋体 四号"/>
    <w:basedOn w:val="24"/>
    <w:autoRedefine/>
    <w:uiPriority w:val="0"/>
    <w:pPr>
      <w:spacing w:line="360" w:lineRule="auto"/>
      <w:ind w:firstLine="480" w:firstLineChars="200"/>
    </w:pPr>
    <w:rPr>
      <w:rFonts w:hAnsi="宋体" w:eastAsia="宋体" w:cs="Times New Roman"/>
      <w:color w:val="000000"/>
      <w:kern w:val="21"/>
      <w:sz w:val="24"/>
      <w:szCs w:val="24"/>
    </w:rPr>
  </w:style>
  <w:style w:type="paragraph" w:customStyle="1" w:styleId="338">
    <w:name w:val="表格小四"/>
    <w:basedOn w:val="1"/>
    <w:autoRedefine/>
    <w:qFormat/>
    <w:uiPriority w:val="0"/>
    <w:pPr>
      <w:spacing w:beforeLines="30" w:afterLines="20"/>
      <w:jc w:val="center"/>
    </w:pPr>
    <w:rPr>
      <w:rFonts w:ascii="Times New Roman" w:hAnsi="Times New Roman" w:eastAsia="宋体" w:cs="Times New Roman"/>
    </w:rPr>
  </w:style>
  <w:style w:type="paragraph" w:customStyle="1" w:styleId="339">
    <w:name w:val="列表段落1"/>
    <w:basedOn w:val="1"/>
    <w:autoRedefine/>
    <w:qFormat/>
    <w:uiPriority w:val="0"/>
    <w:pPr>
      <w:ind w:firstLine="420" w:firstLineChars="200"/>
    </w:pPr>
    <w:rPr>
      <w:rFonts w:ascii="Times New Roman" w:hAnsi="Times New Roman" w:eastAsia="宋体" w:cs="Times New Roman"/>
      <w:sz w:val="21"/>
    </w:rPr>
  </w:style>
  <w:style w:type="table" w:customStyle="1" w:styleId="340">
    <w:name w:val="网格型6"/>
    <w:basedOn w:val="4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网格型7"/>
    <w:basedOn w:val="4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2">
    <w:name w:val="Table Paragraph"/>
    <w:basedOn w:val="1"/>
    <w:autoRedefine/>
    <w:qFormat/>
    <w:uiPriority w:val="1"/>
    <w:pPr>
      <w:spacing w:line="360" w:lineRule="auto"/>
      <w:ind w:firstLine="200" w:firstLineChars="200"/>
      <w:jc w:val="left"/>
    </w:pPr>
    <w:rPr>
      <w:rFonts w:ascii="Calibri" w:hAnsi="Calibri" w:eastAsia="宋体" w:cs="Times New Roman"/>
      <w:kern w:val="0"/>
      <w:sz w:val="22"/>
      <w:szCs w:val="22"/>
      <w:lang w:eastAsia="en-US"/>
    </w:rPr>
  </w:style>
  <w:style w:type="paragraph" w:customStyle="1" w:styleId="343">
    <w:name w:val="报告书正文"/>
    <w:basedOn w:val="27"/>
    <w:qFormat/>
    <w:uiPriority w:val="0"/>
    <w:pPr>
      <w:tabs>
        <w:tab w:val="clear" w:pos="1700"/>
      </w:tabs>
      <w:adjustRightInd w:val="0"/>
      <w:jc w:val="center"/>
    </w:pPr>
    <w:rPr>
      <w:rFonts w:ascii="黑体" w:eastAsia="黑体"/>
    </w:rPr>
  </w:style>
  <w:style w:type="table" w:customStyle="1" w:styleId="344">
    <w:name w:val="网格型8"/>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5">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6">
    <w:name w:val="xl64"/>
    <w:basedOn w:val="1"/>
    <w:autoRedefine/>
    <w:qFormat/>
    <w:uiPriority w:val="0"/>
    <w:pPr>
      <w:widowControl/>
      <w:spacing w:before="100" w:beforeAutospacing="1" w:after="100" w:afterAutospacing="1"/>
      <w:jc w:val="center"/>
      <w:textAlignment w:val="center"/>
    </w:pPr>
    <w:rPr>
      <w:rFonts w:ascii="Times New Roman" w:hAnsi="Times New Roman" w:eastAsia="宋体" w:cs="Times New Roman"/>
      <w:kern w:val="0"/>
      <w:sz w:val="20"/>
      <w:szCs w:val="20"/>
    </w:rPr>
  </w:style>
  <w:style w:type="character" w:customStyle="1" w:styleId="347">
    <w:name w:val="正文 首行缩进:  2 字符 Char"/>
    <w:link w:val="241"/>
    <w:autoRedefine/>
    <w:qFormat/>
    <w:uiPriority w:val="0"/>
    <w:rPr>
      <w:kern w:val="2"/>
      <w:sz w:val="28"/>
    </w:rPr>
  </w:style>
  <w:style w:type="character" w:customStyle="1" w:styleId="348">
    <w:name w:val="页脚 Char"/>
    <w:qFormat/>
    <w:uiPriority w:val="0"/>
    <w:rPr>
      <w:kern w:val="2"/>
      <w:sz w:val="18"/>
      <w:szCs w:val="18"/>
    </w:rPr>
  </w:style>
  <w:style w:type="character" w:customStyle="1" w:styleId="349">
    <w:name w:val="标题 1 Char"/>
    <w:autoRedefine/>
    <w:qFormat/>
    <w:uiPriority w:val="0"/>
    <w:rPr>
      <w:rFonts w:eastAsia="黑体"/>
      <w:b/>
      <w:bCs/>
      <w:kern w:val="44"/>
      <w:sz w:val="36"/>
      <w:szCs w:val="30"/>
    </w:rPr>
  </w:style>
  <w:style w:type="character" w:customStyle="1" w:styleId="350">
    <w:name w:val="标题 4 Char"/>
    <w:uiPriority w:val="0"/>
    <w:rPr>
      <w:kern w:val="2"/>
      <w:sz w:val="28"/>
      <w:szCs w:val="24"/>
    </w:rPr>
  </w:style>
  <w:style w:type="character" w:customStyle="1" w:styleId="351">
    <w:name w:val="标题 5 字符1"/>
    <w:link w:val="6"/>
    <w:qFormat/>
    <w:uiPriority w:val="0"/>
    <w:rPr>
      <w:b/>
      <w:sz w:val="28"/>
    </w:rPr>
  </w:style>
  <w:style w:type="character" w:customStyle="1" w:styleId="352">
    <w:name w:val="标题 6 字符1"/>
    <w:link w:val="7"/>
    <w:autoRedefine/>
    <w:qFormat/>
    <w:uiPriority w:val="0"/>
    <w:rPr>
      <w:rFonts w:ascii="Arial" w:hAnsi="Arial" w:eastAsia="黑体"/>
      <w:b/>
      <w:sz w:val="24"/>
    </w:rPr>
  </w:style>
  <w:style w:type="character" w:customStyle="1" w:styleId="353">
    <w:name w:val="标题 7 字符1"/>
    <w:link w:val="8"/>
    <w:autoRedefine/>
    <w:uiPriority w:val="0"/>
    <w:rPr>
      <w:b/>
      <w:sz w:val="24"/>
    </w:rPr>
  </w:style>
  <w:style w:type="character" w:customStyle="1" w:styleId="354">
    <w:name w:val="标题 8 字符1"/>
    <w:link w:val="9"/>
    <w:qFormat/>
    <w:uiPriority w:val="0"/>
    <w:rPr>
      <w:rFonts w:ascii="Arial" w:hAnsi="Arial" w:eastAsia="黑体"/>
      <w:sz w:val="24"/>
    </w:rPr>
  </w:style>
  <w:style w:type="character" w:customStyle="1" w:styleId="355">
    <w:name w:val="标题 9 字符1"/>
    <w:link w:val="10"/>
    <w:qFormat/>
    <w:uiPriority w:val="0"/>
    <w:rPr>
      <w:rFonts w:ascii="Arial" w:hAnsi="Arial" w:eastAsia="黑体"/>
      <w:sz w:val="21"/>
    </w:rPr>
  </w:style>
  <w:style w:type="character" w:customStyle="1" w:styleId="356">
    <w:name w:val="日期 字符1"/>
    <w:autoRedefine/>
    <w:qFormat/>
    <w:uiPriority w:val="0"/>
    <w:rPr>
      <w:rFonts w:ascii="Times New Roman" w:hAnsi="Times New Roman" w:eastAsia="宋体" w:cs="Times New Roman"/>
      <w:sz w:val="28"/>
      <w:szCs w:val="28"/>
    </w:rPr>
  </w:style>
  <w:style w:type="character" w:customStyle="1" w:styleId="357">
    <w:name w:val="正文文本首行缩进 2 字符1"/>
    <w:link w:val="46"/>
    <w:autoRedefine/>
    <w:qFormat/>
    <w:uiPriority w:val="0"/>
    <w:rPr>
      <w:kern w:val="2"/>
      <w:sz w:val="28"/>
      <w:szCs w:val="28"/>
    </w:rPr>
  </w:style>
  <w:style w:type="character" w:customStyle="1" w:styleId="358">
    <w:name w:val="正文文本缩进 2 字符1"/>
    <w:link w:val="27"/>
    <w:autoRedefine/>
    <w:qFormat/>
    <w:uiPriority w:val="0"/>
    <w:rPr>
      <w:kern w:val="2"/>
      <w:sz w:val="28"/>
      <w:szCs w:val="28"/>
    </w:rPr>
  </w:style>
  <w:style w:type="character" w:customStyle="1" w:styleId="359">
    <w:name w:val="正文文本 2 Char"/>
    <w:autoRedefine/>
    <w:uiPriority w:val="0"/>
    <w:rPr>
      <w:kern w:val="2"/>
      <w:sz w:val="21"/>
      <w:szCs w:val="21"/>
    </w:rPr>
  </w:style>
  <w:style w:type="character" w:customStyle="1" w:styleId="360">
    <w:name w:val="文档结构图 字符1"/>
    <w:autoRedefine/>
    <w:semiHidden/>
    <w:uiPriority w:val="0"/>
    <w:rPr>
      <w:rFonts w:ascii="Plotter" w:hAnsi="Plotter" w:cs="Plotter"/>
      <w:sz w:val="21"/>
      <w:szCs w:val="21"/>
      <w:shd w:val="clear" w:color="auto" w:fill="000080"/>
    </w:rPr>
  </w:style>
  <w:style w:type="character" w:customStyle="1" w:styleId="361">
    <w:name w:val="批注框文本 Char"/>
    <w:semiHidden/>
    <w:qFormat/>
    <w:uiPriority w:val="0"/>
    <w:rPr>
      <w:rFonts w:ascii="Plotter" w:hAnsi="Plotter" w:cs="Plotter"/>
      <w:sz w:val="18"/>
      <w:szCs w:val="18"/>
    </w:rPr>
  </w:style>
  <w:style w:type="character" w:customStyle="1" w:styleId="362">
    <w:name w:val="批注文字 Char"/>
    <w:autoRedefine/>
    <w:semiHidden/>
    <w:uiPriority w:val="0"/>
    <w:rPr>
      <w:kern w:val="2"/>
      <w:sz w:val="28"/>
      <w:szCs w:val="28"/>
    </w:rPr>
  </w:style>
  <w:style w:type="character" w:customStyle="1" w:styleId="363">
    <w:name w:val="批注主题 Char"/>
    <w:autoRedefine/>
    <w:semiHidden/>
    <w:qFormat/>
    <w:uiPriority w:val="0"/>
    <w:rPr>
      <w:b/>
      <w:bCs/>
      <w:kern w:val="2"/>
      <w:sz w:val="28"/>
      <w:szCs w:val="28"/>
    </w:rPr>
  </w:style>
  <w:style w:type="character" w:customStyle="1" w:styleId="364">
    <w:name w:val="HTML 预设格式 字符1"/>
    <w:autoRedefine/>
    <w:qFormat/>
    <w:uiPriority w:val="99"/>
    <w:rPr>
      <w:rFonts w:ascii="宋体" w:hAnsi="宋体" w:eastAsia="宋体" w:cs="宋体"/>
      <w:kern w:val="0"/>
      <w:sz w:val="24"/>
      <w:szCs w:val="24"/>
    </w:rPr>
  </w:style>
  <w:style w:type="character" w:customStyle="1" w:styleId="365">
    <w:name w:val="正文文本首行缩进 字符1"/>
    <w:autoRedefine/>
    <w:qFormat/>
    <w:uiPriority w:val="0"/>
    <w:rPr>
      <w:rFonts w:ascii="Times New Roman" w:hAnsi="Times New Roman" w:eastAsia="宋体" w:cs="Times New Roman"/>
      <w:b/>
      <w:sz w:val="24"/>
      <w:szCs w:val="24"/>
    </w:rPr>
  </w:style>
  <w:style w:type="character" w:customStyle="1" w:styleId="366">
    <w:name w:val="标题 字符1"/>
    <w:link w:val="43"/>
    <w:autoRedefine/>
    <w:uiPriority w:val="0"/>
    <w:rPr>
      <w:rFonts w:ascii="Arial" w:hAnsi="Arial" w:cs="Arial"/>
      <w:b/>
      <w:bCs/>
      <w:kern w:val="2"/>
      <w:sz w:val="32"/>
      <w:szCs w:val="32"/>
    </w:rPr>
  </w:style>
  <w:style w:type="character" w:customStyle="1" w:styleId="367">
    <w:name w:val="正文文本 3 字符1"/>
    <w:link w:val="17"/>
    <w:qFormat/>
    <w:uiPriority w:val="0"/>
    <w:rPr>
      <w:kern w:val="2"/>
      <w:sz w:val="16"/>
      <w:szCs w:val="16"/>
    </w:rPr>
  </w:style>
  <w:style w:type="paragraph" w:customStyle="1" w:styleId="368">
    <w:name w:val="列出段落2"/>
    <w:basedOn w:val="1"/>
    <w:autoRedefine/>
    <w:qFormat/>
    <w:uiPriority w:val="0"/>
    <w:pPr>
      <w:ind w:firstLine="420" w:firstLineChars="200"/>
    </w:pPr>
    <w:rPr>
      <w:rFonts w:ascii="Times New Roman" w:hAnsi="Times New Roman" w:eastAsia="宋体" w:cs="Times New Roman"/>
      <w:sz w:val="21"/>
    </w:rPr>
  </w:style>
  <w:style w:type="paragraph" w:customStyle="1" w:styleId="369">
    <w:name w:val="TOC 标题1"/>
    <w:basedOn w:val="2"/>
    <w:next w:val="1"/>
    <w:unhideWhenUsed/>
    <w:qFormat/>
    <w:uiPriority w:val="39"/>
    <w:pPr>
      <w:keepNext w:val="0"/>
      <w:keepLines w:val="0"/>
      <w:widowControl/>
      <w:spacing w:before="480" w:after="0" w:line="276" w:lineRule="auto"/>
      <w:jc w:val="left"/>
      <w:outlineLvl w:val="9"/>
    </w:pPr>
    <w:rPr>
      <w:rFonts w:ascii="Cambria" w:hAnsi="Cambria" w:cs="Times New Roman"/>
      <w:color w:val="365F91"/>
      <w:kern w:val="0"/>
      <w:sz w:val="28"/>
      <w:szCs w:val="28"/>
      <w:lang w:val="zh-CN"/>
    </w:rPr>
  </w:style>
  <w:style w:type="paragraph" w:customStyle="1" w:styleId="370">
    <w:name w:val="font0"/>
    <w:basedOn w:val="1"/>
    <w:autoRedefine/>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371">
    <w:name w:val="Char"/>
    <w:basedOn w:val="1"/>
    <w:autoRedefine/>
    <w:qFormat/>
    <w:uiPriority w:val="0"/>
    <w:pPr>
      <w:tabs>
        <w:tab w:val="left" w:pos="360"/>
      </w:tabs>
    </w:pPr>
    <w:rPr>
      <w:rFonts w:ascii="Times New Roman" w:hAnsi="Times New Roman" w:eastAsia="宋体" w:cs="Times New Roman"/>
      <w:szCs w:val="32"/>
    </w:rPr>
  </w:style>
  <w:style w:type="character" w:customStyle="1" w:styleId="372">
    <w:name w:val="标题 3 Char"/>
    <w:locked/>
    <w:uiPriority w:val="0"/>
    <w:rPr>
      <w:b/>
      <w:bCs/>
      <w:color w:val="00B0F0"/>
      <w:kern w:val="2"/>
      <w:sz w:val="28"/>
      <w:szCs w:val="28"/>
    </w:rPr>
  </w:style>
  <w:style w:type="character" w:customStyle="1" w:styleId="373">
    <w:name w:val="正文缩进 Char1"/>
    <w:qFormat/>
    <w:uiPriority w:val="0"/>
    <w:rPr>
      <w:rFonts w:eastAsia="宋体"/>
      <w:kern w:val="2"/>
      <w:sz w:val="28"/>
      <w:szCs w:val="28"/>
      <w:lang w:val="en-US" w:eastAsia="zh-CN" w:bidi="ar-SA"/>
    </w:rPr>
  </w:style>
  <w:style w:type="character" w:customStyle="1" w:styleId="374">
    <w:name w:val="纯文本 Char1"/>
    <w:autoRedefine/>
    <w:qFormat/>
    <w:uiPriority w:val="0"/>
    <w:rPr>
      <w:rFonts w:ascii="宋体" w:hAnsi="宋体" w:eastAsia="宋体" w:cs="宋体"/>
      <w:color w:val="000000"/>
      <w:sz w:val="24"/>
      <w:szCs w:val="24"/>
      <w:lang w:val="en-US" w:eastAsia="zh-CN" w:bidi="ar-SA"/>
    </w:rPr>
  </w:style>
  <w:style w:type="character" w:customStyle="1" w:styleId="375">
    <w:name w:val="标题 2 Char"/>
    <w:autoRedefine/>
    <w:qFormat/>
    <w:uiPriority w:val="0"/>
    <w:rPr>
      <w:rFonts w:eastAsia="华文中宋"/>
      <w:b/>
      <w:bCs/>
      <w:kern w:val="2"/>
      <w:sz w:val="32"/>
      <w:szCs w:val="28"/>
    </w:rPr>
  </w:style>
  <w:style w:type="character" w:customStyle="1" w:styleId="376">
    <w:name w:val="正文文本缩进 3 Char"/>
    <w:qFormat/>
    <w:uiPriority w:val="0"/>
    <w:rPr>
      <w:rFonts w:eastAsia="宋体"/>
      <w:kern w:val="2"/>
      <w:sz w:val="16"/>
      <w:szCs w:val="16"/>
      <w:lang w:val="en-US" w:eastAsia="zh-CN" w:bidi="ar-SA"/>
    </w:rPr>
  </w:style>
  <w:style w:type="character" w:customStyle="1" w:styleId="377">
    <w:name w:val="正文文本 Char"/>
    <w:qFormat/>
    <w:uiPriority w:val="0"/>
    <w:rPr>
      <w:b/>
      <w:kern w:val="2"/>
      <w:sz w:val="24"/>
      <w:szCs w:val="24"/>
    </w:rPr>
  </w:style>
  <w:style w:type="character" w:customStyle="1" w:styleId="378">
    <w:name w:val="正文文本缩进 Char"/>
    <w:autoRedefine/>
    <w:qFormat/>
    <w:uiPriority w:val="0"/>
    <w:rPr>
      <w:rFonts w:eastAsia="宋体"/>
      <w:kern w:val="2"/>
      <w:sz w:val="28"/>
      <w:szCs w:val="28"/>
      <w:lang w:val="en-US" w:eastAsia="zh-CN" w:bidi="ar-SA"/>
    </w:rPr>
  </w:style>
  <w:style w:type="paragraph" w:customStyle="1" w:styleId="379">
    <w:name w:val="列表段落2"/>
    <w:basedOn w:val="1"/>
    <w:qFormat/>
    <w:uiPriority w:val="0"/>
    <w:pPr>
      <w:ind w:firstLine="420" w:firstLineChars="200"/>
    </w:pPr>
    <w:rPr>
      <w:rFonts w:ascii="Times New Roman" w:hAnsi="Times New Roman" w:eastAsia="宋体" w:cs="Times New Roman"/>
      <w:sz w:val="21"/>
    </w:rPr>
  </w:style>
  <w:style w:type="character" w:customStyle="1" w:styleId="380">
    <w:name w:val="标题 5 Char"/>
    <w:autoRedefine/>
    <w:qFormat/>
    <w:uiPriority w:val="0"/>
    <w:rPr>
      <w:b/>
      <w:sz w:val="28"/>
    </w:rPr>
  </w:style>
  <w:style w:type="character" w:customStyle="1" w:styleId="381">
    <w:name w:val="标题 6 Char"/>
    <w:autoRedefine/>
    <w:qFormat/>
    <w:uiPriority w:val="0"/>
    <w:rPr>
      <w:rFonts w:ascii="Arial" w:hAnsi="Arial" w:eastAsia="黑体"/>
      <w:b/>
      <w:sz w:val="24"/>
    </w:rPr>
  </w:style>
  <w:style w:type="character" w:customStyle="1" w:styleId="382">
    <w:name w:val="标题 7 Char"/>
    <w:autoRedefine/>
    <w:uiPriority w:val="0"/>
    <w:rPr>
      <w:b/>
      <w:sz w:val="24"/>
    </w:rPr>
  </w:style>
  <w:style w:type="character" w:customStyle="1" w:styleId="383">
    <w:name w:val="标题 8 Char"/>
    <w:qFormat/>
    <w:uiPriority w:val="0"/>
    <w:rPr>
      <w:rFonts w:ascii="Arial" w:hAnsi="Arial" w:eastAsia="黑体"/>
      <w:sz w:val="24"/>
    </w:rPr>
  </w:style>
  <w:style w:type="character" w:customStyle="1" w:styleId="384">
    <w:name w:val="标题 9 Char"/>
    <w:qFormat/>
    <w:uiPriority w:val="0"/>
    <w:rPr>
      <w:rFonts w:ascii="Arial" w:hAnsi="Arial" w:eastAsia="黑体"/>
      <w:sz w:val="21"/>
    </w:rPr>
  </w:style>
  <w:style w:type="character" w:customStyle="1" w:styleId="385">
    <w:name w:val="日期 Char"/>
    <w:uiPriority w:val="0"/>
    <w:rPr>
      <w:kern w:val="2"/>
      <w:sz w:val="28"/>
      <w:szCs w:val="28"/>
    </w:rPr>
  </w:style>
  <w:style w:type="character" w:customStyle="1" w:styleId="386">
    <w:name w:val="正文首行缩进 2 Char"/>
    <w:uiPriority w:val="0"/>
    <w:rPr>
      <w:kern w:val="2"/>
      <w:sz w:val="28"/>
      <w:szCs w:val="28"/>
    </w:rPr>
  </w:style>
  <w:style w:type="character" w:customStyle="1" w:styleId="387">
    <w:name w:val="正文文本缩进 2 Char"/>
    <w:autoRedefine/>
    <w:uiPriority w:val="0"/>
    <w:rPr>
      <w:kern w:val="2"/>
      <w:sz w:val="28"/>
      <w:szCs w:val="28"/>
    </w:rPr>
  </w:style>
  <w:style w:type="character" w:customStyle="1" w:styleId="388">
    <w:name w:val="文档结构图 Char"/>
    <w:autoRedefine/>
    <w:semiHidden/>
    <w:qFormat/>
    <w:uiPriority w:val="0"/>
    <w:rPr>
      <w:rFonts w:ascii="Plotter" w:hAnsi="Plotter" w:cs="Plotter"/>
      <w:sz w:val="21"/>
      <w:szCs w:val="21"/>
      <w:shd w:val="clear" w:color="auto" w:fill="000080"/>
    </w:rPr>
  </w:style>
  <w:style w:type="character" w:customStyle="1" w:styleId="389">
    <w:name w:val="HTML 预设格式 Char"/>
    <w:qFormat/>
    <w:uiPriority w:val="99"/>
    <w:rPr>
      <w:rFonts w:ascii="宋体" w:hAnsi="宋体" w:cs="宋体"/>
      <w:sz w:val="24"/>
      <w:szCs w:val="24"/>
    </w:rPr>
  </w:style>
  <w:style w:type="character" w:customStyle="1" w:styleId="390">
    <w:name w:val="正文首行缩进 Char"/>
    <w:qFormat/>
    <w:uiPriority w:val="0"/>
    <w:rPr>
      <w:b/>
      <w:kern w:val="2"/>
      <w:sz w:val="24"/>
      <w:szCs w:val="24"/>
    </w:rPr>
  </w:style>
  <w:style w:type="character" w:customStyle="1" w:styleId="391">
    <w:name w:val="标题 Char"/>
    <w:autoRedefine/>
    <w:qFormat/>
    <w:uiPriority w:val="0"/>
    <w:rPr>
      <w:rFonts w:ascii="Arial" w:hAnsi="Arial" w:cs="Arial"/>
      <w:b/>
      <w:bCs/>
      <w:kern w:val="2"/>
      <w:sz w:val="32"/>
      <w:szCs w:val="32"/>
    </w:rPr>
  </w:style>
  <w:style w:type="character" w:customStyle="1" w:styleId="392">
    <w:name w:val="正文文本 3 Char"/>
    <w:autoRedefine/>
    <w:qFormat/>
    <w:uiPriority w:val="0"/>
    <w:rPr>
      <w:kern w:val="2"/>
      <w:sz w:val="16"/>
      <w:szCs w:val="16"/>
    </w:rPr>
  </w:style>
  <w:style w:type="paragraph" w:customStyle="1" w:styleId="393">
    <w:name w:val="xl95"/>
    <w:basedOn w:val="1"/>
    <w:autoRedefine/>
    <w:qFormat/>
    <w:uiPriority w:val="0"/>
    <w:pPr>
      <w:widowControl/>
      <w:pBdr>
        <w:left w:val="single" w:color="auto" w:sz="4" w:space="0"/>
        <w:bottom w:val="single" w:color="auto" w:sz="4" w:space="0"/>
        <w:right w:val="single" w:color="auto" w:sz="4" w:space="0"/>
      </w:pBdr>
      <w:shd w:val="clear" w:color="000000" w:fill="00B050"/>
      <w:spacing w:before="100" w:beforeAutospacing="1" w:after="100" w:afterAutospacing="1"/>
      <w:jc w:val="center"/>
      <w:textAlignment w:val="center"/>
    </w:pPr>
    <w:rPr>
      <w:rFonts w:ascii="Times New Roman" w:hAnsi="Times New Roman" w:eastAsia="宋体" w:cs="Times New Roman"/>
      <w:kern w:val="0"/>
    </w:rPr>
  </w:style>
  <w:style w:type="paragraph" w:customStyle="1" w:styleId="394">
    <w:name w:val="xl9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395">
    <w:name w:val="xl9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396">
    <w:name w:val="xl9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397">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398">
    <w:name w:val="xl100"/>
    <w:basedOn w:val="1"/>
    <w:autoRedefine/>
    <w:qFormat/>
    <w:uiPriority w:val="0"/>
    <w:pPr>
      <w:widowControl/>
      <w:pBdr>
        <w:top w:val="single" w:color="auto" w:sz="4" w:space="0"/>
        <w:left w:val="single" w:color="auto" w:sz="4" w:space="0"/>
        <w:right w:val="single" w:color="auto" w:sz="4" w:space="0"/>
      </w:pBdr>
      <w:shd w:val="clear" w:color="000000" w:fill="00B050"/>
      <w:spacing w:before="100" w:beforeAutospacing="1" w:after="100" w:afterAutospacing="1"/>
      <w:jc w:val="center"/>
      <w:textAlignment w:val="center"/>
    </w:pPr>
    <w:rPr>
      <w:rFonts w:ascii="Times New Roman" w:hAnsi="Times New Roman" w:eastAsia="宋体" w:cs="Times New Roman"/>
      <w:kern w:val="0"/>
    </w:rPr>
  </w:style>
  <w:style w:type="paragraph" w:customStyle="1" w:styleId="399">
    <w:name w:val="xl101"/>
    <w:basedOn w:val="1"/>
    <w:autoRedefine/>
    <w:qFormat/>
    <w:uiPriority w:val="0"/>
    <w:pPr>
      <w:widowControl/>
      <w:pBdr>
        <w:left w:val="single" w:color="auto" w:sz="4" w:space="0"/>
        <w:right w:val="single" w:color="auto" w:sz="4" w:space="0"/>
      </w:pBdr>
      <w:shd w:val="clear" w:color="000000" w:fill="00B050"/>
      <w:spacing w:before="100" w:beforeAutospacing="1" w:after="100" w:afterAutospacing="1"/>
      <w:jc w:val="center"/>
      <w:textAlignment w:val="center"/>
    </w:pPr>
    <w:rPr>
      <w:rFonts w:ascii="Times New Roman" w:hAnsi="Times New Roman" w:eastAsia="宋体" w:cs="Times New Roman"/>
      <w:kern w:val="0"/>
    </w:rPr>
  </w:style>
  <w:style w:type="paragraph" w:customStyle="1" w:styleId="400">
    <w:name w:val="xl102"/>
    <w:basedOn w:val="1"/>
    <w:autoRedefine/>
    <w:qFormat/>
    <w:uiPriority w:val="0"/>
    <w:pPr>
      <w:widowControl/>
      <w:pBdr>
        <w:left w:val="single" w:color="auto" w:sz="4" w:space="0"/>
        <w:bottom w:val="single" w:color="auto" w:sz="4" w:space="0"/>
        <w:right w:val="single" w:color="auto" w:sz="4" w:space="0"/>
      </w:pBdr>
      <w:shd w:val="clear" w:color="000000" w:fill="00B050"/>
      <w:spacing w:before="100" w:beforeAutospacing="1" w:after="100" w:afterAutospacing="1"/>
      <w:jc w:val="center"/>
      <w:textAlignment w:val="center"/>
    </w:pPr>
    <w:rPr>
      <w:rFonts w:ascii="Times New Roman" w:hAnsi="Times New Roman" w:eastAsia="宋体" w:cs="Times New Roman"/>
      <w:kern w:val="0"/>
    </w:rPr>
  </w:style>
  <w:style w:type="paragraph" w:customStyle="1" w:styleId="401">
    <w:name w:val="xl10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402">
    <w:name w:val="xl10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403">
    <w:name w:val="xl10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404">
    <w:name w:val="Char Char Char Char Char Char Char Char2"/>
    <w:basedOn w:val="1"/>
    <w:autoRedefine/>
    <w:semiHidden/>
    <w:qFormat/>
    <w:uiPriority w:val="0"/>
    <w:pPr>
      <w:adjustRightInd w:val="0"/>
      <w:snapToGrid w:val="0"/>
      <w:spacing w:line="360" w:lineRule="auto"/>
      <w:ind w:firstLine="200" w:firstLineChars="200"/>
    </w:pPr>
    <w:rPr>
      <w:rFonts w:ascii="宋体" w:hAnsi="宋体" w:eastAsia="宋体" w:cs="宋体"/>
      <w:szCs w:val="26"/>
    </w:rPr>
  </w:style>
  <w:style w:type="paragraph" w:customStyle="1" w:styleId="405">
    <w:name w:val="xl10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406">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407">
    <w:name w:val="xl10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rPr>
  </w:style>
  <w:style w:type="paragraph" w:customStyle="1" w:styleId="408">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sz w:val="21"/>
      <w:szCs w:val="21"/>
    </w:rPr>
  </w:style>
  <w:style w:type="paragraph" w:customStyle="1" w:styleId="409">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sz w:val="21"/>
      <w:szCs w:val="21"/>
    </w:rPr>
  </w:style>
  <w:style w:type="paragraph" w:customStyle="1" w:styleId="410">
    <w:name w:val="xl111"/>
    <w:basedOn w:val="1"/>
    <w:autoRedefine/>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sz w:val="21"/>
      <w:szCs w:val="21"/>
    </w:rPr>
  </w:style>
  <w:style w:type="paragraph" w:customStyle="1" w:styleId="411">
    <w:name w:val="xl11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rPr>
  </w:style>
  <w:style w:type="paragraph" w:customStyle="1" w:styleId="412">
    <w:name w:val="xl11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rPr>
  </w:style>
  <w:style w:type="paragraph" w:customStyle="1" w:styleId="413">
    <w:name w:val="xl1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rPr>
  </w:style>
  <w:style w:type="paragraph" w:customStyle="1" w:styleId="414">
    <w:name w:val="xl1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415">
    <w:name w:val="xl116"/>
    <w:basedOn w:val="1"/>
    <w:autoRedefine/>
    <w:qFormat/>
    <w:uiPriority w:val="0"/>
    <w:pPr>
      <w:widowControl/>
      <w:pBdr>
        <w:top w:val="single" w:color="auto" w:sz="4" w:space="0"/>
        <w:left w:val="single" w:color="auto" w:sz="4" w:space="0"/>
        <w:right w:val="single" w:color="auto" w:sz="4" w:space="0"/>
      </w:pBdr>
      <w:shd w:val="clear" w:color="000000" w:fill="FFD966"/>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416">
    <w:name w:val="xl1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417">
    <w:name w:val="xl1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rPr>
  </w:style>
  <w:style w:type="paragraph" w:customStyle="1" w:styleId="418">
    <w:name w:val="表头图头"/>
    <w:basedOn w:val="1"/>
    <w:link w:val="420"/>
    <w:autoRedefine/>
    <w:qFormat/>
    <w:uiPriority w:val="0"/>
    <w:pPr>
      <w:adjustRightInd w:val="0"/>
      <w:snapToGrid w:val="0"/>
      <w:spacing w:line="480" w:lineRule="exact"/>
      <w:jc w:val="center"/>
    </w:pPr>
    <w:rPr>
      <w:rFonts w:ascii="Times New Roman" w:hAnsi="Times New Roman" w:eastAsia="宋体" w:cs="Times New Roman"/>
      <w:b/>
      <w:bCs/>
      <w:szCs w:val="22"/>
    </w:rPr>
  </w:style>
  <w:style w:type="paragraph" w:customStyle="1" w:styleId="419">
    <w:name w:val="表内文字"/>
    <w:basedOn w:val="1"/>
    <w:autoRedefine/>
    <w:qFormat/>
    <w:uiPriority w:val="0"/>
    <w:pPr>
      <w:adjustRightInd w:val="0"/>
      <w:snapToGrid w:val="0"/>
      <w:jc w:val="center"/>
    </w:pPr>
    <w:rPr>
      <w:rFonts w:ascii="Times New Roman" w:hAnsi="Times New Roman" w:eastAsia="宋体" w:cs="宋体"/>
      <w:kern w:val="0"/>
      <w:sz w:val="21"/>
      <w:lang w:val="zh-CN"/>
    </w:rPr>
  </w:style>
  <w:style w:type="character" w:customStyle="1" w:styleId="420">
    <w:name w:val="表头图头 字符"/>
    <w:link w:val="418"/>
    <w:autoRedefine/>
    <w:qFormat/>
    <w:uiPriority w:val="0"/>
    <w:rPr>
      <w:b/>
      <w:bCs/>
      <w:kern w:val="2"/>
      <w:sz w:val="24"/>
      <w:szCs w:val="22"/>
    </w:rPr>
  </w:style>
  <w:style w:type="table" w:customStyle="1" w:styleId="421">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22">
    <w:name w:val="Char Char Char Char Char Char Char Char1"/>
    <w:basedOn w:val="1"/>
    <w:semiHidden/>
    <w:qFormat/>
    <w:uiPriority w:val="0"/>
    <w:pPr>
      <w:adjustRightInd w:val="0"/>
      <w:snapToGrid w:val="0"/>
      <w:spacing w:line="360" w:lineRule="auto"/>
      <w:ind w:firstLine="200" w:firstLineChars="200"/>
    </w:pPr>
    <w:rPr>
      <w:rFonts w:ascii="宋体" w:hAnsi="宋体" w:eastAsia="宋体" w:cs="宋体"/>
      <w:szCs w:val="26"/>
    </w:rPr>
  </w:style>
  <w:style w:type="table" w:customStyle="1" w:styleId="423">
    <w:name w:val="网格型9"/>
    <w:basedOn w:val="47"/>
    <w:qFormat/>
    <w:uiPriority w:val="59"/>
    <w:pPr>
      <w:widowControl w:val="0"/>
      <w:adjustRightIn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11"/>
    <w:basedOn w:val="47"/>
    <w:autoRedefine/>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5">
    <w:name w:val="未处理的提及1"/>
    <w:basedOn w:val="51"/>
    <w:autoRedefine/>
    <w:semiHidden/>
    <w:unhideWhenUsed/>
    <w:qFormat/>
    <w:uiPriority w:val="99"/>
    <w:rPr>
      <w:color w:val="605E5C"/>
      <w:shd w:val="clear" w:color="auto" w:fill="E1DFDD"/>
    </w:rPr>
  </w:style>
  <w:style w:type="paragraph" w:customStyle="1" w:styleId="426">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eastAsia="宋体" w:cs="宋体"/>
      <w:kern w:val="0"/>
    </w:rPr>
  </w:style>
  <w:style w:type="paragraph" w:customStyle="1" w:styleId="427">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rPr>
  </w:style>
  <w:style w:type="paragraph" w:customStyle="1" w:styleId="428">
    <w:name w:val="xl12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429">
    <w:name w:val="xl1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430">
    <w:name w:val="xl12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1"/>
      <w:szCs w:val="21"/>
    </w:rPr>
  </w:style>
  <w:style w:type="paragraph" w:customStyle="1" w:styleId="431">
    <w:name w:val="xl1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1"/>
      <w:szCs w:val="21"/>
    </w:rPr>
  </w:style>
  <w:style w:type="paragraph" w:customStyle="1" w:styleId="432">
    <w:name w:val="xl1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1"/>
      <w:szCs w:val="21"/>
    </w:rPr>
  </w:style>
  <w:style w:type="paragraph" w:customStyle="1" w:styleId="433">
    <w:name w:val="xl12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eastAsia="宋体" w:cs="宋体"/>
      <w:kern w:val="0"/>
    </w:rPr>
  </w:style>
  <w:style w:type="paragraph" w:customStyle="1" w:styleId="434">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rPr>
  </w:style>
  <w:style w:type="paragraph" w:customStyle="1" w:styleId="435">
    <w:name w:val="标题  2"/>
    <w:basedOn w:val="3"/>
    <w:autoRedefine/>
    <w:qFormat/>
    <w:uiPriority w:val="0"/>
    <w:pPr>
      <w:adjustRightInd w:val="0"/>
      <w:snapToGrid w:val="0"/>
      <w:spacing w:before="0" w:after="0" w:line="480" w:lineRule="exact"/>
      <w:textAlignment w:val="baseline"/>
    </w:pPr>
    <w:rPr>
      <w:rFonts w:cs="宋体"/>
      <w:bCs/>
      <w:snapToGrid w:val="0"/>
      <w:sz w:val="24"/>
      <w:szCs w:val="20"/>
      <w:lang w:val="zh-CN"/>
    </w:rPr>
  </w:style>
  <w:style w:type="paragraph" w:customStyle="1" w:styleId="436">
    <w:name w:val="老吴表段前后"/>
    <w:basedOn w:val="1"/>
    <w:autoRedefine/>
    <w:qFormat/>
    <w:uiPriority w:val="0"/>
    <w:pPr>
      <w:spacing w:before="20" w:after="20" w:line="420" w:lineRule="auto"/>
      <w:ind w:firstLine="200" w:firstLineChars="200"/>
    </w:pPr>
    <w:rPr>
      <w:rFonts w:hint="eastAsia" w:ascii="宋体" w:hAnsi="Times New Roman" w:eastAsia="宋体" w:cs="Times New Roman"/>
      <w:szCs w:val="20"/>
    </w:rPr>
  </w:style>
  <w:style w:type="table" w:customStyle="1" w:styleId="437">
    <w:name w:val="网格型10"/>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8">
    <w:name w:val="网格型12"/>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9">
    <w:name w:val="样式 宋体 小四"/>
    <w:autoRedefine/>
    <w:qFormat/>
    <w:uiPriority w:val="0"/>
    <w:rPr>
      <w:rFonts w:ascii="宋体" w:hAnsi="宋体" w:eastAsia="宋体"/>
      <w:b/>
      <w:kern w:val="0"/>
      <w:sz w:val="24"/>
    </w:rPr>
  </w:style>
  <w:style w:type="character" w:customStyle="1" w:styleId="440">
    <w:name w:val="bt1 Char"/>
    <w:link w:val="79"/>
    <w:autoRedefine/>
    <w:qFormat/>
    <w:uiPriority w:val="0"/>
    <w:rPr>
      <w:rFonts w:ascii="Arial Narrow" w:hAnsi="Arial Narrow" w:eastAsia="黑体" w:cstheme="minorBidi"/>
      <w:color w:val="000000"/>
      <w:spacing w:val="-2"/>
      <w:w w:val="99"/>
      <w:sz w:val="26"/>
      <w:szCs w:val="26"/>
    </w:rPr>
  </w:style>
  <w:style w:type="table" w:customStyle="1" w:styleId="441">
    <w:name w:val="网格型13"/>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2">
    <w:name w:val="Revision"/>
    <w:autoRedefine/>
    <w:hidden/>
    <w:semiHidden/>
    <w:qFormat/>
    <w:uiPriority w:val="99"/>
    <w:rPr>
      <w:rFonts w:ascii="Times New Roman" w:hAnsi="Times New Roman" w:eastAsia="宋体" w:cs="Times New Roman"/>
      <w:kern w:val="2"/>
      <w:sz w:val="28"/>
      <w:szCs w:val="28"/>
      <w:lang w:val="en-US" w:eastAsia="zh-CN" w:bidi="ar-SA"/>
    </w:rPr>
  </w:style>
  <w:style w:type="paragraph" w:customStyle="1" w:styleId="443">
    <w:name w:val="TOC Heading"/>
    <w:basedOn w:val="2"/>
    <w:next w:val="1"/>
    <w:autoRedefine/>
    <w:unhideWhenUsed/>
    <w:qFormat/>
    <w:uiPriority w:val="39"/>
    <w:pPr>
      <w:keepNext w:val="0"/>
      <w:keepLines w:val="0"/>
      <w:widowControl/>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444">
    <w:name w:val="00-正文 Char Char"/>
    <w:basedOn w:val="1"/>
    <w:link w:val="445"/>
    <w:autoRedefine/>
    <w:qFormat/>
    <w:uiPriority w:val="0"/>
    <w:pPr>
      <w:snapToGrid w:val="0"/>
      <w:spacing w:line="348" w:lineRule="auto"/>
      <w:ind w:firstLine="200" w:firstLineChars="200"/>
    </w:pPr>
    <w:rPr>
      <w:rFonts w:ascii="Times New Roman" w:hAnsi="Times New Roman" w:eastAsia="Times New Roman" w:cs="Times New Roman"/>
      <w:kern w:val="0"/>
      <w:sz w:val="28"/>
      <w:szCs w:val="28"/>
    </w:rPr>
  </w:style>
  <w:style w:type="character" w:customStyle="1" w:styleId="445">
    <w:name w:val="00-正文 Char Char Char"/>
    <w:link w:val="444"/>
    <w:autoRedefine/>
    <w:qFormat/>
    <w:uiPriority w:val="0"/>
    <w:rPr>
      <w:rFonts w:eastAsia="Times New Roman"/>
      <w:sz w:val="28"/>
      <w:szCs w:val="28"/>
    </w:rPr>
  </w:style>
  <w:style w:type="character" w:customStyle="1" w:styleId="446">
    <w:name w:val="列表段落 字符"/>
    <w:link w:val="73"/>
    <w:autoRedefine/>
    <w:qFormat/>
    <w:uiPriority w:val="34"/>
    <w:rPr>
      <w:rFonts w:asciiTheme="minorHAnsi" w:hAnsiTheme="minorHAnsi" w:eastAsiaTheme="minorEastAsia" w:cstheme="minorBidi"/>
      <w:kern w:val="2"/>
      <w:sz w:val="24"/>
      <w:szCs w:val="24"/>
    </w:rPr>
  </w:style>
  <w:style w:type="paragraph" w:customStyle="1" w:styleId="447">
    <w:name w:val="表格体"/>
    <w:basedOn w:val="1"/>
    <w:autoRedefine/>
    <w:qFormat/>
    <w:uiPriority w:val="0"/>
    <w:pPr>
      <w:jc w:val="center"/>
    </w:pPr>
    <w:rPr>
      <w:rFonts w:ascii="Times New Roman" w:hAnsi="Times New Roman" w:eastAsia="宋体" w:cs="Times New Roman"/>
      <w:sz w:val="21"/>
      <w:szCs w:val="18"/>
    </w:rPr>
  </w:style>
  <w:style w:type="character" w:styleId="448">
    <w:name w:val="Placeholder Text"/>
    <w:basedOn w:val="51"/>
    <w:autoRedefine/>
    <w:unhideWhenUsed/>
    <w:qFormat/>
    <w:uiPriority w:val="99"/>
    <w:rPr>
      <w:color w:val="808080"/>
    </w:rPr>
  </w:style>
  <w:style w:type="character" w:customStyle="1" w:styleId="449">
    <w:name w:val="Unresolved Mention"/>
    <w:basedOn w:val="51"/>
    <w:autoRedefine/>
    <w:semiHidden/>
    <w:unhideWhenUsed/>
    <w:qFormat/>
    <w:uiPriority w:val="99"/>
    <w:rPr>
      <w:color w:val="605E5C"/>
      <w:shd w:val="clear" w:color="auto" w:fill="E1DFDD"/>
    </w:rPr>
  </w:style>
  <w:style w:type="table" w:customStyle="1" w:styleId="450">
    <w:name w:val="网格型14"/>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1">
    <w:name w:val="网格型15"/>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emf"/><Relationship Id="rId13" Type="http://schemas.openxmlformats.org/officeDocument/2006/relationships/oleObject" Target="embeddings/Microsoft_Visio_2003-2010___1.vsd"/><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7"/>
    <customShpInfo spid="_x0000_s2058"/>
    <customShpInfo spid="_x0000_s2059"/>
    <customShpInfo spid="_x0000_s2060"/>
    <customShpInfo spid="_x0000_s2061"/>
    <customShpInfo spid="_x0000_s2062"/>
    <customShpInfo spid="_x0000_s2063"/>
    <customShpInfo spid="_x0000_s2064"/>
    <customShpInfo spid="_x0000_s205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E62BED-3237-4558-9840-A57A69DDFCD8}">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24262</Words>
  <Characters>29739</Characters>
  <Lines>259</Lines>
  <Paragraphs>73</Paragraphs>
  <TotalTime>5350</TotalTime>
  <ScaleCrop>false</ScaleCrop>
  <LinksUpToDate>false</LinksUpToDate>
  <CharactersWithSpaces>30177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2017-12-12T03:39:00Z</dcterms:created>
  <dc:creator>hongxia</dc:creator>
  <cp:lastModifiedBy>环评-小刘</cp:lastModifiedBy>
  <cp:lastPrinted>2018-01-25T01:29:00Z</cp:lastPrinted>
  <dcterms:modified xsi:type="dcterms:W3CDTF">2024-01-18T05:25:24Z</dcterms:modified>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2B387A3B98C549C89AC77B62C5A61F13_12</vt:lpwstr>
  </property>
</Properties>
</file>